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98E40" w14:textId="77777777" w:rsidR="00D83A76" w:rsidRPr="00D83A76" w:rsidRDefault="00D83A76" w:rsidP="00D83A76">
      <w:pPr>
        <w:shd w:val="clear" w:color="auto" w:fill="F8FCFF"/>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3A76">
        <w:rPr>
          <w:rFonts w:ascii="Times New Roman" w:eastAsia="Times New Roman" w:hAnsi="Times New Roman" w:cs="Times New Roman"/>
          <w:b/>
          <w:bCs/>
          <w:kern w:val="36"/>
          <w:sz w:val="48"/>
          <w:szCs w:val="48"/>
        </w:rPr>
        <w:t>Maxims of equity</w:t>
      </w:r>
    </w:p>
    <w:p w14:paraId="5B73115A" w14:textId="77777777" w:rsidR="00D83A76" w:rsidRPr="00D83A76" w:rsidRDefault="00D83A76" w:rsidP="00D83A76">
      <w:pPr>
        <w:shd w:val="clear" w:color="auto" w:fill="F8FCFF"/>
        <w:spacing w:before="100" w:beforeAutospacing="1" w:after="100" w:afterAutospacing="1" w:line="240" w:lineRule="auto"/>
        <w:outlineLvl w:val="2"/>
        <w:rPr>
          <w:rFonts w:ascii="Times New Roman" w:eastAsia="Times New Roman" w:hAnsi="Times New Roman" w:cs="Times New Roman"/>
        </w:rPr>
      </w:pPr>
      <w:r w:rsidRPr="00D83A76">
        <w:rPr>
          <w:rFonts w:ascii="Times New Roman" w:eastAsia="Times New Roman" w:hAnsi="Times New Roman" w:cs="Times New Roman"/>
        </w:rPr>
        <w:t>From Wikipedia, the free encyclopedia</w:t>
      </w:r>
    </w:p>
    <w:p w14:paraId="686D9D4F" w14:textId="77777777" w:rsidR="00D83A76" w:rsidRPr="00D83A76" w:rsidRDefault="00D83A76" w:rsidP="00D83A76">
      <w:pPr>
        <w:shd w:val="clear" w:color="auto" w:fill="F8FCFF"/>
        <w:spacing w:after="0"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Jump to: </w:t>
      </w:r>
      <w:hyperlink r:id="rId6" w:anchor="column-one" w:history="1">
        <w:r w:rsidRPr="00D83A76">
          <w:rPr>
            <w:rFonts w:ascii="Times New Roman" w:eastAsia="Times New Roman" w:hAnsi="Times New Roman" w:cs="Times New Roman"/>
            <w:color w:val="0000FF"/>
            <w:sz w:val="24"/>
            <w:szCs w:val="24"/>
            <w:u w:val="single"/>
          </w:rPr>
          <w:t>navigation</w:t>
        </w:r>
      </w:hyperlink>
      <w:r w:rsidRPr="00D83A76">
        <w:rPr>
          <w:rFonts w:ascii="Times New Roman" w:eastAsia="Times New Roman" w:hAnsi="Times New Roman" w:cs="Times New Roman"/>
          <w:sz w:val="24"/>
          <w:szCs w:val="24"/>
        </w:rPr>
        <w:t xml:space="preserve">, </w:t>
      </w:r>
      <w:hyperlink r:id="rId7" w:anchor="searchInput" w:history="1">
        <w:r w:rsidRPr="00D83A76">
          <w:rPr>
            <w:rFonts w:ascii="Times New Roman" w:eastAsia="Times New Roman" w:hAnsi="Times New Roman" w:cs="Times New Roman"/>
            <w:color w:val="0000FF"/>
            <w:sz w:val="24"/>
            <w:szCs w:val="24"/>
            <w:u w:val="single"/>
          </w:rPr>
          <w:t>search</w:t>
        </w:r>
      </w:hyperlink>
    </w:p>
    <w:p w14:paraId="5038C3F4"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The </w:t>
      </w:r>
      <w:r w:rsidRPr="00D83A76">
        <w:rPr>
          <w:rFonts w:ascii="Times New Roman" w:eastAsia="Times New Roman" w:hAnsi="Times New Roman" w:cs="Times New Roman"/>
          <w:b/>
          <w:bCs/>
          <w:sz w:val="24"/>
          <w:szCs w:val="24"/>
        </w:rPr>
        <w:t xml:space="preserve">maxims of </w:t>
      </w:r>
      <w:hyperlink r:id="rId8" w:tooltip="Equity (law)" w:history="1">
        <w:r w:rsidRPr="00D83A76">
          <w:rPr>
            <w:rFonts w:ascii="Times New Roman" w:eastAsia="Times New Roman" w:hAnsi="Times New Roman" w:cs="Times New Roman"/>
            <w:b/>
            <w:bCs/>
            <w:color w:val="0000FF"/>
            <w:sz w:val="24"/>
            <w:szCs w:val="24"/>
            <w:u w:val="single"/>
          </w:rPr>
          <w:t>equity</w:t>
        </w:r>
      </w:hyperlink>
      <w:r w:rsidRPr="00D83A76">
        <w:rPr>
          <w:rFonts w:ascii="Times New Roman" w:eastAsia="Times New Roman" w:hAnsi="Times New Roman" w:cs="Times New Roman"/>
          <w:sz w:val="24"/>
          <w:szCs w:val="24"/>
        </w:rPr>
        <w:t xml:space="preserve"> evolved, in </w:t>
      </w:r>
      <w:hyperlink r:id="rId9" w:tooltip="Latin" w:history="1">
        <w:r w:rsidRPr="00D83A76">
          <w:rPr>
            <w:rFonts w:ascii="Times New Roman" w:eastAsia="Times New Roman" w:hAnsi="Times New Roman" w:cs="Times New Roman"/>
            <w:color w:val="0000FF"/>
            <w:sz w:val="24"/>
            <w:szCs w:val="24"/>
            <w:u w:val="single"/>
          </w:rPr>
          <w:t>Latin</w:t>
        </w:r>
      </w:hyperlink>
      <w:r w:rsidRPr="00D83A76">
        <w:rPr>
          <w:rFonts w:ascii="Times New Roman" w:eastAsia="Times New Roman" w:hAnsi="Times New Roman" w:cs="Times New Roman"/>
          <w:sz w:val="24"/>
          <w:szCs w:val="24"/>
        </w:rPr>
        <w:t xml:space="preserve"> and eventually translated into </w:t>
      </w:r>
      <w:hyperlink r:id="rId10" w:tooltip="English language" w:history="1">
        <w:r w:rsidRPr="00D83A76">
          <w:rPr>
            <w:rFonts w:ascii="Times New Roman" w:eastAsia="Times New Roman" w:hAnsi="Times New Roman" w:cs="Times New Roman"/>
            <w:color w:val="0000FF"/>
            <w:sz w:val="24"/>
            <w:szCs w:val="24"/>
            <w:u w:val="single"/>
          </w:rPr>
          <w:t>English</w:t>
        </w:r>
      </w:hyperlink>
      <w:r w:rsidRPr="00D83A76">
        <w:rPr>
          <w:rFonts w:ascii="Times New Roman" w:eastAsia="Times New Roman" w:hAnsi="Times New Roman" w:cs="Times New Roman"/>
          <w:sz w:val="24"/>
          <w:szCs w:val="24"/>
        </w:rPr>
        <w:t xml:space="preserve">, as the principles applied by </w:t>
      </w:r>
      <w:hyperlink r:id="rId11" w:tooltip="Court of equity" w:history="1">
        <w:r w:rsidRPr="00D83A76">
          <w:rPr>
            <w:rFonts w:ascii="Times New Roman" w:eastAsia="Times New Roman" w:hAnsi="Times New Roman" w:cs="Times New Roman"/>
            <w:color w:val="0000FF"/>
            <w:sz w:val="24"/>
            <w:szCs w:val="24"/>
            <w:u w:val="single"/>
          </w:rPr>
          <w:t>courts of equity</w:t>
        </w:r>
      </w:hyperlink>
      <w:r w:rsidRPr="00D83A76">
        <w:rPr>
          <w:rFonts w:ascii="Times New Roman" w:eastAsia="Times New Roman" w:hAnsi="Times New Roman" w:cs="Times New Roman"/>
          <w:sz w:val="24"/>
          <w:szCs w:val="24"/>
        </w:rPr>
        <w:t xml:space="preserve"> in deciding cases before them.</w:t>
      </w:r>
      <w:hyperlink r:id="rId12" w:anchor="cite_note-0" w:history="1">
        <w:r w:rsidRPr="00D83A76">
          <w:rPr>
            <w:rFonts w:ascii="Times New Roman" w:eastAsia="Times New Roman" w:hAnsi="Times New Roman" w:cs="Times New Roman"/>
            <w:color w:val="0000FF"/>
            <w:sz w:val="24"/>
            <w:szCs w:val="24"/>
            <w:u w:val="single"/>
            <w:vertAlign w:val="superscript"/>
          </w:rPr>
          <w:t>[1]</w:t>
        </w:r>
      </w:hyperlink>
    </w:p>
    <w:p w14:paraId="2CC242D4"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Among the traditional maxims 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02"/>
      </w:tblGrid>
      <w:tr w:rsidR="00D83A76" w:rsidRPr="00D83A76" w14:paraId="64197292" w14:textId="77777777" w:rsidTr="00D83A76">
        <w:trPr>
          <w:tblCellSpacing w:w="15" w:type="dxa"/>
        </w:trPr>
        <w:tc>
          <w:tcPr>
            <w:tcW w:w="0" w:type="auto"/>
            <w:vAlign w:val="center"/>
            <w:hideMark/>
          </w:tcPr>
          <w:p w14:paraId="338A9B07" w14:textId="77777777" w:rsidR="00D83A76" w:rsidRPr="00D83A76" w:rsidRDefault="00D83A76" w:rsidP="00D83A76">
            <w:pPr>
              <w:spacing w:before="100" w:beforeAutospacing="1" w:after="100" w:afterAutospacing="1" w:line="240" w:lineRule="auto"/>
              <w:outlineLvl w:val="1"/>
              <w:rPr>
                <w:rFonts w:ascii="Times New Roman" w:eastAsia="Times New Roman" w:hAnsi="Times New Roman" w:cs="Times New Roman"/>
                <w:b/>
                <w:bCs/>
                <w:sz w:val="36"/>
                <w:szCs w:val="36"/>
              </w:rPr>
            </w:pPr>
            <w:r w:rsidRPr="00D83A76">
              <w:rPr>
                <w:rFonts w:ascii="Times New Roman" w:eastAsia="Times New Roman" w:hAnsi="Times New Roman" w:cs="Times New Roman"/>
                <w:b/>
                <w:bCs/>
                <w:sz w:val="36"/>
                <w:szCs w:val="36"/>
              </w:rPr>
              <w:t>Contents</w:t>
            </w:r>
          </w:p>
          <w:p w14:paraId="676A377A" w14:textId="77777777" w:rsidR="00D83A76" w:rsidRPr="00D83A76" w:rsidRDefault="00D83A76" w:rsidP="00D83A76">
            <w:pPr>
              <w:spacing w:after="0"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w:t>
            </w:r>
            <w:hyperlink r:id="rId13" w:history="1">
              <w:r w:rsidRPr="00D83A76">
                <w:rPr>
                  <w:rFonts w:ascii="Times New Roman" w:eastAsia="Times New Roman" w:hAnsi="Times New Roman" w:cs="Times New Roman"/>
                  <w:color w:val="0000FF"/>
                  <w:sz w:val="24"/>
                  <w:szCs w:val="24"/>
                  <w:u w:val="single"/>
                </w:rPr>
                <w:t>hide</w:t>
              </w:r>
            </w:hyperlink>
            <w:r w:rsidRPr="00D83A76">
              <w:rPr>
                <w:rFonts w:ascii="Times New Roman" w:eastAsia="Times New Roman" w:hAnsi="Times New Roman" w:cs="Times New Roman"/>
                <w:sz w:val="24"/>
                <w:szCs w:val="24"/>
              </w:rPr>
              <w:t>]</w:t>
            </w:r>
          </w:p>
          <w:p w14:paraId="70DF3EA6"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anchor="Equity_regards_as_done_that_which_ought_to_be_done." w:history="1">
              <w:r w:rsidR="00D83A76" w:rsidRPr="00D83A76">
                <w:rPr>
                  <w:rFonts w:ascii="Times New Roman" w:eastAsia="Times New Roman" w:hAnsi="Times New Roman" w:cs="Times New Roman"/>
                  <w:color w:val="0000FF"/>
                  <w:sz w:val="24"/>
                  <w:szCs w:val="24"/>
                  <w:u w:val="single"/>
                </w:rPr>
                <w:t>1 Equity regards as done that which ought to be done.</w:t>
              </w:r>
            </w:hyperlink>
            <w:r w:rsidR="00D83A76" w:rsidRPr="00D83A76">
              <w:rPr>
                <w:rFonts w:ascii="Times New Roman" w:eastAsia="Times New Roman" w:hAnsi="Times New Roman" w:cs="Times New Roman"/>
                <w:sz w:val="24"/>
                <w:szCs w:val="24"/>
              </w:rPr>
              <w:t xml:space="preserve"> </w:t>
            </w:r>
          </w:p>
          <w:p w14:paraId="3F7365C2"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anchor="Equity_will_not_suffer_a_wrong_to_be_without_a_remedy" w:history="1">
              <w:r w:rsidR="00D83A76" w:rsidRPr="00D83A76">
                <w:rPr>
                  <w:rFonts w:ascii="Times New Roman" w:eastAsia="Times New Roman" w:hAnsi="Times New Roman" w:cs="Times New Roman"/>
                  <w:color w:val="0000FF"/>
                  <w:sz w:val="24"/>
                  <w:szCs w:val="24"/>
                  <w:u w:val="single"/>
                </w:rPr>
                <w:t>2 Equity will not suffer a wrong to be without a remedy</w:t>
              </w:r>
            </w:hyperlink>
            <w:r w:rsidR="00D83A76" w:rsidRPr="00D83A76">
              <w:rPr>
                <w:rFonts w:ascii="Times New Roman" w:eastAsia="Times New Roman" w:hAnsi="Times New Roman" w:cs="Times New Roman"/>
                <w:sz w:val="24"/>
                <w:szCs w:val="24"/>
              </w:rPr>
              <w:t xml:space="preserve"> </w:t>
            </w:r>
          </w:p>
          <w:p w14:paraId="49139C44"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anchor="Equity_delights_in_equality" w:history="1">
              <w:r w:rsidR="00D83A76" w:rsidRPr="00D83A76">
                <w:rPr>
                  <w:rFonts w:ascii="Times New Roman" w:eastAsia="Times New Roman" w:hAnsi="Times New Roman" w:cs="Times New Roman"/>
                  <w:color w:val="0000FF"/>
                  <w:sz w:val="24"/>
                  <w:szCs w:val="24"/>
                  <w:u w:val="single"/>
                </w:rPr>
                <w:t>3 Equity delights in equality</w:t>
              </w:r>
            </w:hyperlink>
            <w:r w:rsidR="00D83A76" w:rsidRPr="00D83A76">
              <w:rPr>
                <w:rFonts w:ascii="Times New Roman" w:eastAsia="Times New Roman" w:hAnsi="Times New Roman" w:cs="Times New Roman"/>
                <w:sz w:val="24"/>
                <w:szCs w:val="24"/>
              </w:rPr>
              <w:t xml:space="preserve"> </w:t>
            </w:r>
          </w:p>
          <w:p w14:paraId="105EBFE9"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anchor="One_who_seeks_equity_must_do_equity" w:history="1">
              <w:r w:rsidR="00D83A76" w:rsidRPr="00D83A76">
                <w:rPr>
                  <w:rFonts w:ascii="Times New Roman" w:eastAsia="Times New Roman" w:hAnsi="Times New Roman" w:cs="Times New Roman"/>
                  <w:color w:val="0000FF"/>
                  <w:sz w:val="24"/>
                  <w:szCs w:val="24"/>
                  <w:u w:val="single"/>
                </w:rPr>
                <w:t>4 One who seeks equity must do equity</w:t>
              </w:r>
            </w:hyperlink>
            <w:r w:rsidR="00D83A76" w:rsidRPr="00D83A76">
              <w:rPr>
                <w:rFonts w:ascii="Times New Roman" w:eastAsia="Times New Roman" w:hAnsi="Times New Roman" w:cs="Times New Roman"/>
                <w:sz w:val="24"/>
                <w:szCs w:val="24"/>
              </w:rPr>
              <w:t xml:space="preserve"> </w:t>
            </w:r>
          </w:p>
          <w:p w14:paraId="1DF51401"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anchor="Equity_aids_the_vigilant.2C_not_those_who_slumber_on_their_rights" w:history="1">
              <w:r w:rsidR="00D83A76" w:rsidRPr="00D83A76">
                <w:rPr>
                  <w:rFonts w:ascii="Times New Roman" w:eastAsia="Times New Roman" w:hAnsi="Times New Roman" w:cs="Times New Roman"/>
                  <w:color w:val="0000FF"/>
                  <w:sz w:val="24"/>
                  <w:szCs w:val="24"/>
                  <w:u w:val="single"/>
                </w:rPr>
                <w:t>5 Equity aids the vigilant, not those who slumber on their rights</w:t>
              </w:r>
            </w:hyperlink>
            <w:r w:rsidR="00D83A76" w:rsidRPr="00D83A76">
              <w:rPr>
                <w:rFonts w:ascii="Times New Roman" w:eastAsia="Times New Roman" w:hAnsi="Times New Roman" w:cs="Times New Roman"/>
                <w:sz w:val="24"/>
                <w:szCs w:val="24"/>
              </w:rPr>
              <w:t xml:space="preserve"> </w:t>
            </w:r>
          </w:p>
          <w:p w14:paraId="5E0D3358"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anchor="Equity_imputes_an_intent_to_fulfill_an_obligation" w:history="1">
              <w:r w:rsidR="00D83A76" w:rsidRPr="00D83A76">
                <w:rPr>
                  <w:rFonts w:ascii="Times New Roman" w:eastAsia="Times New Roman" w:hAnsi="Times New Roman" w:cs="Times New Roman"/>
                  <w:color w:val="0000FF"/>
                  <w:sz w:val="24"/>
                  <w:szCs w:val="24"/>
                  <w:u w:val="single"/>
                </w:rPr>
                <w:t>6 Equity imputes an intent to fulfill an obligation</w:t>
              </w:r>
            </w:hyperlink>
            <w:r w:rsidR="00D83A76" w:rsidRPr="00D83A76">
              <w:rPr>
                <w:rFonts w:ascii="Times New Roman" w:eastAsia="Times New Roman" w:hAnsi="Times New Roman" w:cs="Times New Roman"/>
                <w:sz w:val="24"/>
                <w:szCs w:val="24"/>
              </w:rPr>
              <w:t xml:space="preserve"> </w:t>
            </w:r>
          </w:p>
          <w:p w14:paraId="3B778DA9"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anchor="Equity_acts_in_personam." w:history="1">
              <w:r w:rsidR="00D83A76" w:rsidRPr="00D83A76">
                <w:rPr>
                  <w:rFonts w:ascii="Times New Roman" w:eastAsia="Times New Roman" w:hAnsi="Times New Roman" w:cs="Times New Roman"/>
                  <w:color w:val="0000FF"/>
                  <w:sz w:val="24"/>
                  <w:szCs w:val="24"/>
                  <w:u w:val="single"/>
                </w:rPr>
                <w:t>7 Equity acts in personam.</w:t>
              </w:r>
            </w:hyperlink>
            <w:r w:rsidR="00D83A76" w:rsidRPr="00D83A76">
              <w:rPr>
                <w:rFonts w:ascii="Times New Roman" w:eastAsia="Times New Roman" w:hAnsi="Times New Roman" w:cs="Times New Roman"/>
                <w:sz w:val="24"/>
                <w:szCs w:val="24"/>
              </w:rPr>
              <w:t xml:space="preserve"> </w:t>
            </w:r>
          </w:p>
          <w:p w14:paraId="74826C4D"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anchor="Equity_abhors_a_forfeiture" w:history="1">
              <w:r w:rsidR="00D83A76" w:rsidRPr="00D83A76">
                <w:rPr>
                  <w:rFonts w:ascii="Times New Roman" w:eastAsia="Times New Roman" w:hAnsi="Times New Roman" w:cs="Times New Roman"/>
                  <w:color w:val="0000FF"/>
                  <w:sz w:val="24"/>
                  <w:szCs w:val="24"/>
                  <w:u w:val="single"/>
                </w:rPr>
                <w:t>8 Equity abhors a forfeiture</w:t>
              </w:r>
            </w:hyperlink>
            <w:r w:rsidR="00D83A76" w:rsidRPr="00D83A76">
              <w:rPr>
                <w:rFonts w:ascii="Times New Roman" w:eastAsia="Times New Roman" w:hAnsi="Times New Roman" w:cs="Times New Roman"/>
                <w:sz w:val="24"/>
                <w:szCs w:val="24"/>
              </w:rPr>
              <w:t xml:space="preserve"> </w:t>
            </w:r>
          </w:p>
          <w:p w14:paraId="4A81B2FE"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anchor="Equity_does_not_require_an_idle_gesture" w:history="1">
              <w:r w:rsidR="00D83A76" w:rsidRPr="00D83A76">
                <w:rPr>
                  <w:rFonts w:ascii="Times New Roman" w:eastAsia="Times New Roman" w:hAnsi="Times New Roman" w:cs="Times New Roman"/>
                  <w:color w:val="0000FF"/>
                  <w:sz w:val="24"/>
                  <w:szCs w:val="24"/>
                  <w:u w:val="single"/>
                </w:rPr>
                <w:t>9 Equity does not require an idle gesture</w:t>
              </w:r>
            </w:hyperlink>
            <w:r w:rsidR="00D83A76" w:rsidRPr="00D83A76">
              <w:rPr>
                <w:rFonts w:ascii="Times New Roman" w:eastAsia="Times New Roman" w:hAnsi="Times New Roman" w:cs="Times New Roman"/>
                <w:sz w:val="24"/>
                <w:szCs w:val="24"/>
              </w:rPr>
              <w:t xml:space="preserve"> </w:t>
            </w:r>
          </w:p>
          <w:p w14:paraId="6CBC9F33"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anchor="One_who_comes_into_equity_must_come_with_clean_hands" w:history="1">
              <w:r w:rsidR="00D83A76" w:rsidRPr="00D83A76">
                <w:rPr>
                  <w:rFonts w:ascii="Times New Roman" w:eastAsia="Times New Roman" w:hAnsi="Times New Roman" w:cs="Times New Roman"/>
                  <w:color w:val="0000FF"/>
                  <w:sz w:val="24"/>
                  <w:szCs w:val="24"/>
                  <w:u w:val="single"/>
                </w:rPr>
                <w:t>10 One who comes into equity must come with clean hands</w:t>
              </w:r>
            </w:hyperlink>
            <w:r w:rsidR="00D83A76" w:rsidRPr="00D83A76">
              <w:rPr>
                <w:rFonts w:ascii="Times New Roman" w:eastAsia="Times New Roman" w:hAnsi="Times New Roman" w:cs="Times New Roman"/>
                <w:sz w:val="24"/>
                <w:szCs w:val="24"/>
              </w:rPr>
              <w:t xml:space="preserve"> </w:t>
            </w:r>
          </w:p>
          <w:p w14:paraId="1B345B12"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anchor="Equity_delights_to_do_justice_and_not_by_halves" w:history="1">
              <w:r w:rsidR="00D83A76" w:rsidRPr="00D83A76">
                <w:rPr>
                  <w:rFonts w:ascii="Times New Roman" w:eastAsia="Times New Roman" w:hAnsi="Times New Roman" w:cs="Times New Roman"/>
                  <w:color w:val="0000FF"/>
                  <w:sz w:val="24"/>
                  <w:szCs w:val="24"/>
                  <w:u w:val="single"/>
                </w:rPr>
                <w:t>11 Equity delights to do justice and not by halves</w:t>
              </w:r>
            </w:hyperlink>
            <w:r w:rsidR="00D83A76" w:rsidRPr="00D83A76">
              <w:rPr>
                <w:rFonts w:ascii="Times New Roman" w:eastAsia="Times New Roman" w:hAnsi="Times New Roman" w:cs="Times New Roman"/>
                <w:sz w:val="24"/>
                <w:szCs w:val="24"/>
              </w:rPr>
              <w:t xml:space="preserve"> </w:t>
            </w:r>
          </w:p>
          <w:p w14:paraId="4296789D"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anchor="Equity_will_take_jurisdiction_to_avoid_a_multiplicity_of_suits" w:history="1">
              <w:r w:rsidR="00D83A76" w:rsidRPr="00D83A76">
                <w:rPr>
                  <w:rFonts w:ascii="Times New Roman" w:eastAsia="Times New Roman" w:hAnsi="Times New Roman" w:cs="Times New Roman"/>
                  <w:color w:val="0000FF"/>
                  <w:sz w:val="24"/>
                  <w:szCs w:val="24"/>
                  <w:u w:val="single"/>
                </w:rPr>
                <w:t>12 Equity will take jurisdiction to avoid a multiplicity of suits</w:t>
              </w:r>
            </w:hyperlink>
            <w:r w:rsidR="00D83A76" w:rsidRPr="00D83A76">
              <w:rPr>
                <w:rFonts w:ascii="Times New Roman" w:eastAsia="Times New Roman" w:hAnsi="Times New Roman" w:cs="Times New Roman"/>
                <w:sz w:val="24"/>
                <w:szCs w:val="24"/>
              </w:rPr>
              <w:t xml:space="preserve"> </w:t>
            </w:r>
          </w:p>
          <w:p w14:paraId="219DE5EB"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anchor="Equity_follows_the_law" w:history="1">
              <w:r w:rsidR="00D83A76" w:rsidRPr="00D83A76">
                <w:rPr>
                  <w:rFonts w:ascii="Times New Roman" w:eastAsia="Times New Roman" w:hAnsi="Times New Roman" w:cs="Times New Roman"/>
                  <w:color w:val="0000FF"/>
                  <w:sz w:val="24"/>
                  <w:szCs w:val="24"/>
                  <w:u w:val="single"/>
                </w:rPr>
                <w:t>13 Equity follows the law</w:t>
              </w:r>
            </w:hyperlink>
            <w:r w:rsidR="00D83A76" w:rsidRPr="00D83A76">
              <w:rPr>
                <w:rFonts w:ascii="Times New Roman" w:eastAsia="Times New Roman" w:hAnsi="Times New Roman" w:cs="Times New Roman"/>
                <w:sz w:val="24"/>
                <w:szCs w:val="24"/>
              </w:rPr>
              <w:t xml:space="preserve"> </w:t>
            </w:r>
          </w:p>
          <w:p w14:paraId="418A3BC4"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anchor="Equity_will_not_aid_a_volunteer" w:history="1">
              <w:r w:rsidR="00D83A76" w:rsidRPr="00D83A76">
                <w:rPr>
                  <w:rFonts w:ascii="Times New Roman" w:eastAsia="Times New Roman" w:hAnsi="Times New Roman" w:cs="Times New Roman"/>
                  <w:color w:val="0000FF"/>
                  <w:sz w:val="24"/>
                  <w:szCs w:val="24"/>
                  <w:u w:val="single"/>
                </w:rPr>
                <w:t>14 Equity will not aid a volunteer</w:t>
              </w:r>
            </w:hyperlink>
            <w:r w:rsidR="00D83A76" w:rsidRPr="00D83A76">
              <w:rPr>
                <w:rFonts w:ascii="Times New Roman" w:eastAsia="Times New Roman" w:hAnsi="Times New Roman" w:cs="Times New Roman"/>
                <w:sz w:val="24"/>
                <w:szCs w:val="24"/>
              </w:rPr>
              <w:t xml:space="preserve"> </w:t>
            </w:r>
          </w:p>
          <w:p w14:paraId="6F23AE69"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anchor="Between_equal_equities_the_law_will_prevail" w:history="1">
              <w:r w:rsidR="00D83A76" w:rsidRPr="00D83A76">
                <w:rPr>
                  <w:rFonts w:ascii="Times New Roman" w:eastAsia="Times New Roman" w:hAnsi="Times New Roman" w:cs="Times New Roman"/>
                  <w:color w:val="0000FF"/>
                  <w:sz w:val="24"/>
                  <w:szCs w:val="24"/>
                  <w:u w:val="single"/>
                </w:rPr>
                <w:t>15 Between equal equities the law will prevail</w:t>
              </w:r>
            </w:hyperlink>
            <w:r w:rsidR="00D83A76" w:rsidRPr="00D83A76">
              <w:rPr>
                <w:rFonts w:ascii="Times New Roman" w:eastAsia="Times New Roman" w:hAnsi="Times New Roman" w:cs="Times New Roman"/>
                <w:sz w:val="24"/>
                <w:szCs w:val="24"/>
              </w:rPr>
              <w:t xml:space="preserve"> </w:t>
            </w:r>
          </w:p>
          <w:p w14:paraId="46E6D4AD"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anchor="Between_equal_equities_the_first_in_order_of_time_shall_prevail" w:history="1">
              <w:r w:rsidR="00D83A76" w:rsidRPr="00D83A76">
                <w:rPr>
                  <w:rFonts w:ascii="Times New Roman" w:eastAsia="Times New Roman" w:hAnsi="Times New Roman" w:cs="Times New Roman"/>
                  <w:color w:val="0000FF"/>
                  <w:sz w:val="24"/>
                  <w:szCs w:val="24"/>
                  <w:u w:val="single"/>
                </w:rPr>
                <w:t>16 Between equal equities the first in order of time shall prevail</w:t>
              </w:r>
            </w:hyperlink>
            <w:r w:rsidR="00D83A76" w:rsidRPr="00D83A76">
              <w:rPr>
                <w:rFonts w:ascii="Times New Roman" w:eastAsia="Times New Roman" w:hAnsi="Times New Roman" w:cs="Times New Roman"/>
                <w:sz w:val="24"/>
                <w:szCs w:val="24"/>
              </w:rPr>
              <w:t xml:space="preserve"> </w:t>
            </w:r>
          </w:p>
          <w:p w14:paraId="2079C54B"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anchor="Equity_will_not_complete_an_imperfect_gift" w:history="1">
              <w:r w:rsidR="00D83A76" w:rsidRPr="00D83A76">
                <w:rPr>
                  <w:rFonts w:ascii="Times New Roman" w:eastAsia="Times New Roman" w:hAnsi="Times New Roman" w:cs="Times New Roman"/>
                  <w:color w:val="0000FF"/>
                  <w:sz w:val="24"/>
                  <w:szCs w:val="24"/>
                  <w:u w:val="single"/>
                </w:rPr>
                <w:t>17 Equity will not complete an imperfect gift</w:t>
              </w:r>
            </w:hyperlink>
            <w:r w:rsidR="00D83A76" w:rsidRPr="00D83A76">
              <w:rPr>
                <w:rFonts w:ascii="Times New Roman" w:eastAsia="Times New Roman" w:hAnsi="Times New Roman" w:cs="Times New Roman"/>
                <w:sz w:val="24"/>
                <w:szCs w:val="24"/>
              </w:rPr>
              <w:t xml:space="preserve"> </w:t>
            </w:r>
          </w:p>
          <w:p w14:paraId="7A929CEB"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1" w:anchor="Equity_will_not_allow_a_statute_to_be_used_as_a_cloak_for_fraud" w:history="1">
              <w:r w:rsidR="00D83A76" w:rsidRPr="00D83A76">
                <w:rPr>
                  <w:rFonts w:ascii="Times New Roman" w:eastAsia="Times New Roman" w:hAnsi="Times New Roman" w:cs="Times New Roman"/>
                  <w:color w:val="0000FF"/>
                  <w:sz w:val="24"/>
                  <w:szCs w:val="24"/>
                  <w:u w:val="single"/>
                </w:rPr>
                <w:t>18 Equity will not allow a statute to be used as a cloak for fraud</w:t>
              </w:r>
            </w:hyperlink>
            <w:r w:rsidR="00D83A76" w:rsidRPr="00D83A76">
              <w:rPr>
                <w:rFonts w:ascii="Times New Roman" w:eastAsia="Times New Roman" w:hAnsi="Times New Roman" w:cs="Times New Roman"/>
                <w:sz w:val="24"/>
                <w:szCs w:val="24"/>
              </w:rPr>
              <w:t xml:space="preserve"> </w:t>
            </w:r>
          </w:p>
          <w:p w14:paraId="659AD8EE"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2" w:anchor="Equity_will_not_allow_a_trust_to_fail_for_want_of_a_trustee" w:history="1">
              <w:r w:rsidR="00D83A76" w:rsidRPr="00D83A76">
                <w:rPr>
                  <w:rFonts w:ascii="Times New Roman" w:eastAsia="Times New Roman" w:hAnsi="Times New Roman" w:cs="Times New Roman"/>
                  <w:color w:val="0000FF"/>
                  <w:sz w:val="24"/>
                  <w:szCs w:val="24"/>
                  <w:u w:val="single"/>
                </w:rPr>
                <w:t>19 Equity will not allow a trust to fail for want of a trustee</w:t>
              </w:r>
            </w:hyperlink>
            <w:r w:rsidR="00D83A76" w:rsidRPr="00D83A76">
              <w:rPr>
                <w:rFonts w:ascii="Times New Roman" w:eastAsia="Times New Roman" w:hAnsi="Times New Roman" w:cs="Times New Roman"/>
                <w:sz w:val="24"/>
                <w:szCs w:val="24"/>
              </w:rPr>
              <w:t xml:space="preserve"> </w:t>
            </w:r>
          </w:p>
          <w:p w14:paraId="00812285"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3" w:anchor="See_also" w:history="1">
              <w:r w:rsidR="00D83A76" w:rsidRPr="00D83A76">
                <w:rPr>
                  <w:rFonts w:ascii="Times New Roman" w:eastAsia="Times New Roman" w:hAnsi="Times New Roman" w:cs="Times New Roman"/>
                  <w:color w:val="0000FF"/>
                  <w:sz w:val="24"/>
                  <w:szCs w:val="24"/>
                  <w:u w:val="single"/>
                </w:rPr>
                <w:t>20 See also</w:t>
              </w:r>
            </w:hyperlink>
            <w:r w:rsidR="00D83A76" w:rsidRPr="00D83A76">
              <w:rPr>
                <w:rFonts w:ascii="Times New Roman" w:eastAsia="Times New Roman" w:hAnsi="Times New Roman" w:cs="Times New Roman"/>
                <w:sz w:val="24"/>
                <w:szCs w:val="24"/>
              </w:rPr>
              <w:t xml:space="preserve"> </w:t>
            </w:r>
          </w:p>
          <w:p w14:paraId="7515E5AF" w14:textId="77777777" w:rsidR="00D83A76" w:rsidRPr="00D83A76" w:rsidRDefault="00494499" w:rsidP="00D83A76">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4" w:anchor="References" w:history="1">
              <w:r w:rsidR="00D83A76" w:rsidRPr="00D83A76">
                <w:rPr>
                  <w:rFonts w:ascii="Times New Roman" w:eastAsia="Times New Roman" w:hAnsi="Times New Roman" w:cs="Times New Roman"/>
                  <w:color w:val="0000FF"/>
                  <w:sz w:val="24"/>
                  <w:szCs w:val="24"/>
                  <w:u w:val="single"/>
                </w:rPr>
                <w:t>21 References</w:t>
              </w:r>
            </w:hyperlink>
            <w:r w:rsidR="00D83A76" w:rsidRPr="00D83A76">
              <w:rPr>
                <w:rFonts w:ascii="Times New Roman" w:eastAsia="Times New Roman" w:hAnsi="Times New Roman" w:cs="Times New Roman"/>
                <w:sz w:val="24"/>
                <w:szCs w:val="24"/>
              </w:rPr>
              <w:t xml:space="preserve"> </w:t>
            </w:r>
          </w:p>
        </w:tc>
      </w:tr>
    </w:tbl>
    <w:p w14:paraId="3F4D2421"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0" w:name="Equity_regards_as_done_that_which_ought_"/>
      <w:bookmarkEnd w:id="0"/>
      <w:r w:rsidRPr="00D83A76">
        <w:rPr>
          <w:rFonts w:ascii="Times New Roman" w:eastAsia="Times New Roman" w:hAnsi="Times New Roman" w:cs="Times New Roman"/>
          <w:b/>
          <w:bCs/>
          <w:sz w:val="36"/>
          <w:szCs w:val="36"/>
        </w:rPr>
        <w:t>[</w:t>
      </w:r>
      <w:hyperlink r:id="rId35" w:tooltip="Edit section: Equity regards as done that which ought to be done."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regards as done that which ought to be done.</w:t>
      </w:r>
    </w:p>
    <w:p w14:paraId="0D6FDEB5"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This maxim means that when individuals are required, by their agreements or by law to have done some act of legal significance, Equity will regard it as having been done as it ought to have, even before it has actually happened. This makes possible the legal phenomenon of </w:t>
      </w:r>
      <w:hyperlink r:id="rId36" w:tooltip="Equitable conversion" w:history="1">
        <w:r w:rsidRPr="00D83A76">
          <w:rPr>
            <w:rFonts w:ascii="Times New Roman" w:eastAsia="Times New Roman" w:hAnsi="Times New Roman" w:cs="Times New Roman"/>
            <w:color w:val="0000FF"/>
            <w:sz w:val="24"/>
            <w:szCs w:val="24"/>
            <w:u w:val="single"/>
          </w:rPr>
          <w:t>Equitable conversion</w:t>
        </w:r>
      </w:hyperlink>
      <w:r w:rsidRPr="00D83A76">
        <w:rPr>
          <w:rFonts w:ascii="Times New Roman" w:eastAsia="Times New Roman" w:hAnsi="Times New Roman" w:cs="Times New Roman"/>
          <w:sz w:val="24"/>
          <w:szCs w:val="24"/>
        </w:rPr>
        <w:t>.</w:t>
      </w:r>
    </w:p>
    <w:p w14:paraId="17BF7BA1"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lastRenderedPageBreak/>
        <w:t xml:space="preserve">The consequences of this maxim, and of equitable conversion, are significant in their bearing on the risk of loss in transactions. When parties enter a contract for a sale of </w:t>
      </w:r>
      <w:hyperlink r:id="rId37" w:tooltip="Realty" w:history="1">
        <w:r w:rsidRPr="00D83A76">
          <w:rPr>
            <w:rFonts w:ascii="Times New Roman" w:eastAsia="Times New Roman" w:hAnsi="Times New Roman" w:cs="Times New Roman"/>
            <w:color w:val="0000FF"/>
            <w:sz w:val="24"/>
            <w:szCs w:val="24"/>
            <w:u w:val="single"/>
          </w:rPr>
          <w:t>real property</w:t>
        </w:r>
      </w:hyperlink>
      <w:r w:rsidRPr="00D83A76">
        <w:rPr>
          <w:rFonts w:ascii="Times New Roman" w:eastAsia="Times New Roman" w:hAnsi="Times New Roman" w:cs="Times New Roman"/>
          <w:sz w:val="24"/>
          <w:szCs w:val="24"/>
        </w:rPr>
        <w:t>, the buyer is deemed to have obtained an equitable right that becomes a legal right only after the deal is completed.</w:t>
      </w:r>
    </w:p>
    <w:p w14:paraId="27F699F8" w14:textId="440DEC2B"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Due to his equitable interest in the outcome of the transaction, the buyer who suffers a breach may then be entitled to the equitable remedy of specific performance</w:t>
      </w:r>
      <w:r w:rsidR="006A71F3">
        <w:rPr>
          <w:rFonts w:ascii="Times New Roman" w:eastAsia="Times New Roman" w:hAnsi="Times New Roman" w:cs="Times New Roman"/>
          <w:sz w:val="24"/>
          <w:szCs w:val="24"/>
        </w:rPr>
        <w:t xml:space="preserve"> </w:t>
      </w:r>
      <w:r w:rsidRPr="00D83A76">
        <w:rPr>
          <w:rFonts w:ascii="Times New Roman" w:eastAsia="Times New Roman" w:hAnsi="Times New Roman" w:cs="Times New Roman"/>
          <w:sz w:val="24"/>
          <w:szCs w:val="24"/>
        </w:rPr>
        <w:t>(although not always, see below). It also is reflected in how his damages are measured if he pursues a legal, substitutionary remedy instead of an equitable remedy. At law, he is entitled to the value at the time of breach, whether it has appreciated, or depreciated.</w:t>
      </w:r>
    </w:p>
    <w:p w14:paraId="3A7D87B3"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The fact that the buyer may be forced to suffer the depreciation means that he bears the risk of loss if, for example, the improvements on the property he bought burn down while he is still in escrow.</w:t>
      </w:r>
    </w:p>
    <w:p w14:paraId="7CCBB83D"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Additional Examples: Problems may sometimes arise because, through some lapse or omission, cover is not in force at the time a claim is made. If the policyholder has clearly been at fault in this connection, because, for example, he has not paid premiums when he should have, then it will normally be quite reasonable for an insurer to decline to meet the claim. However, it gets more difficult if the policyholder is no more at fault than the insurer. The fair solution in the circumstances may be arrived at by applying the principle that equity regards that as done which ought to be done [See para 1, above]. In other words, what would the position have been if what should have been done had been done?</w:t>
      </w:r>
    </w:p>
    <w:p w14:paraId="2E67F0AD"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Thus, in one case, premiums on a life policy were overdue. The insurer' s letter to the policyholder warning him of this fact was never received by the policyholder, who died shortly after the policy consequently lapsed. It was clear that if the notice had been received by the policyholder, he or his wife would have taken steps to ensure the policy continued in force, because the policyholder was terminally ill at the time and the cover provided by the policy was something his wife was plainly going to require in the foreseeable future. Since the policyholder would have been fully entitled to pay the outstanding premium at that stage, regardless of his physical condition, the insurer (with some persuasion from the Bureau) agreed that the matter should be dealt with as if the policyholder had done so. In other words, his widow was entitled to the sum assured less the outstanding premium. In other similar cases, however, it has not been possible to follow the same principle because there has not been sufficiently clear evidence that the policy would have been renewed.</w:t>
      </w:r>
    </w:p>
    <w:p w14:paraId="6488E1B4"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Another illustration of the application of this equitable principle was in connection with motor insurance. A policyholder was provided with cover on the basis that she was entitled to a ' no claims' discount from her previous insurer. Confirmation to this effect from the previous insurer was required. When that was not forthcoming, her cover was cancelled by the brokers who had issued the initial cover note. This was done without reference to the insurer concerned, whose normal practice in such circumstances would have been to maintain cover, but to require payment of the full premium until proof of the no claims discount was forthcoming. Such proof was eventually obtained by the policyholder, but only after she had been involved in an accident after the cancellation by the brokers of the policy. Here again, the fair outcome was to look at </w:t>
      </w:r>
      <w:r w:rsidRPr="00D83A76">
        <w:rPr>
          <w:rFonts w:ascii="Times New Roman" w:eastAsia="Times New Roman" w:hAnsi="Times New Roman" w:cs="Times New Roman"/>
          <w:sz w:val="24"/>
          <w:szCs w:val="24"/>
        </w:rPr>
        <w:lastRenderedPageBreak/>
        <w:t>what would have happened if the insurer's normal practice had been followed. In such circumstances, the policyholder would plainly have still had a policy at the time of the accident. The insurer itself had not acted incorrectly at any stage. However, in the circumstances, it was equitable for it to meet the claim.</w:t>
      </w:r>
    </w:p>
    <w:p w14:paraId="7247B3D1"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 w:name="Equity_will_not_suffer_a_wrong_to_be_wit"/>
      <w:bookmarkEnd w:id="1"/>
      <w:r w:rsidRPr="00D83A76">
        <w:rPr>
          <w:rFonts w:ascii="Times New Roman" w:eastAsia="Times New Roman" w:hAnsi="Times New Roman" w:cs="Times New Roman"/>
          <w:b/>
          <w:bCs/>
          <w:sz w:val="36"/>
          <w:szCs w:val="36"/>
        </w:rPr>
        <w:t>[</w:t>
      </w:r>
      <w:hyperlink r:id="rId38" w:tooltip="Edit section: Equity will not suffer a wrong to be without a remedy"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will not suffer a wrong to be without a remedy</w:t>
      </w:r>
    </w:p>
    <w:p w14:paraId="43CA5BAD"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When seeking an equitable relief, the stronger hand is that which has been wronged. The stronger hand is that hand which has the capacity to ask for a remedy. In equity, this form of remedy is usually one of Specific Performance or an Injunction. These are superior remedies to those which are administered at common law such as damages. </w:t>
      </w:r>
      <w:r w:rsidRPr="00D83A76">
        <w:rPr>
          <w:rFonts w:ascii="Times New Roman" w:eastAsia="Times New Roman" w:hAnsi="Times New Roman" w:cs="Times New Roman"/>
          <w:sz w:val="24"/>
          <w:szCs w:val="24"/>
          <w:highlight w:val="yellow"/>
        </w:rPr>
        <w:t>In Latin, this is stated as "Ubi Jus Ibi Remedium", meaning "where there is a right, there must be a remedy"</w:t>
      </w:r>
    </w:p>
    <w:p w14:paraId="452BD457" w14:textId="77777777" w:rsidR="00D83A76" w:rsidRPr="00D83A76" w:rsidRDefault="00494499" w:rsidP="00D83A76">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39" w:tooltip="Ashby v. White" w:history="1">
        <w:r w:rsidR="00D83A76" w:rsidRPr="00D83A76">
          <w:rPr>
            <w:rFonts w:ascii="Times New Roman" w:eastAsia="Times New Roman" w:hAnsi="Times New Roman" w:cs="Times New Roman"/>
            <w:i/>
            <w:iCs/>
            <w:color w:val="0000FF"/>
            <w:sz w:val="24"/>
            <w:szCs w:val="24"/>
            <w:u w:val="single"/>
          </w:rPr>
          <w:t>Ashby v. White</w:t>
        </w:r>
      </w:hyperlink>
      <w:r w:rsidR="00D83A76" w:rsidRPr="00D83A76">
        <w:rPr>
          <w:rFonts w:ascii="Times New Roman" w:eastAsia="Times New Roman" w:hAnsi="Times New Roman" w:cs="Times New Roman"/>
          <w:sz w:val="24"/>
          <w:szCs w:val="24"/>
        </w:rPr>
        <w:t xml:space="preserve"> </w:t>
      </w:r>
    </w:p>
    <w:p w14:paraId="3D7DD4F0"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The maxim is necessarily subordinate to positive principles and cannot be applied either to subvert established rules of law o</w:t>
      </w:r>
      <w:r w:rsidR="00017BFB">
        <w:rPr>
          <w:rFonts w:ascii="Times New Roman" w:eastAsia="Times New Roman" w:hAnsi="Times New Roman" w:cs="Times New Roman"/>
          <w:sz w:val="24"/>
          <w:szCs w:val="24"/>
        </w:rPr>
        <w:t>r to give the courts a jurisdic</w:t>
      </w:r>
      <w:r w:rsidRPr="00D83A76">
        <w:rPr>
          <w:rFonts w:ascii="Times New Roman" w:eastAsia="Times New Roman" w:hAnsi="Times New Roman" w:cs="Times New Roman"/>
          <w:sz w:val="24"/>
          <w:szCs w:val="24"/>
        </w:rPr>
        <w:t>tion hitherto unknown, and it is only in a general not in a literal sense that maxim has force.</w:t>
      </w:r>
    </w:p>
    <w:p w14:paraId="1F5ED208"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2" w:name="Equity_delights_in_equality"/>
      <w:bookmarkEnd w:id="2"/>
      <w:r w:rsidRPr="00D83A76">
        <w:rPr>
          <w:rFonts w:ascii="Times New Roman" w:eastAsia="Times New Roman" w:hAnsi="Times New Roman" w:cs="Times New Roman"/>
          <w:b/>
          <w:bCs/>
          <w:sz w:val="36"/>
          <w:szCs w:val="36"/>
        </w:rPr>
        <w:t>[</w:t>
      </w:r>
      <w:hyperlink r:id="rId40" w:tooltip="Edit section: Equity delights in equality"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delights in equality</w:t>
      </w:r>
    </w:p>
    <w:p w14:paraId="13AC4464"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Where two persons have an equal right, the property will be divided equally. Thus Equity will presume joint owners to be tenants in common unless the parties have expressly agreed otherwise. Equity also favours partition, if requested, of jointly-held property.</w:t>
      </w:r>
    </w:p>
    <w:p w14:paraId="52C86EBE"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highlight w:val="cyan"/>
        </w:rPr>
      </w:pPr>
      <w:bookmarkStart w:id="3" w:name="One_who_seeks_equity_must_do_equity"/>
      <w:bookmarkEnd w:id="3"/>
      <w:r w:rsidRPr="00D83A76">
        <w:rPr>
          <w:rFonts w:ascii="Times New Roman" w:eastAsia="Times New Roman" w:hAnsi="Times New Roman" w:cs="Times New Roman"/>
          <w:b/>
          <w:bCs/>
          <w:sz w:val="36"/>
          <w:szCs w:val="36"/>
        </w:rPr>
        <w:t>[</w:t>
      </w:r>
      <w:hyperlink r:id="rId41" w:tooltip="Edit section: One who seeks equity must do equity"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xml:space="preserve">] </w:t>
      </w:r>
      <w:r w:rsidRPr="00086346">
        <w:rPr>
          <w:rFonts w:ascii="Times New Roman" w:eastAsia="Times New Roman" w:hAnsi="Times New Roman" w:cs="Times New Roman"/>
          <w:b/>
          <w:bCs/>
          <w:sz w:val="36"/>
          <w:szCs w:val="36"/>
        </w:rPr>
        <w:t>One who seeks equity must do equity</w:t>
      </w:r>
    </w:p>
    <w:p w14:paraId="6E4D54A0"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highlight w:val="cyan"/>
        </w:rPr>
        <w:t>In order to receive some equitable relief, the party must be willing to complete all of their own obligations as well. The applicant to a court of equity is as subject to the power of that court as the defendant. This may also overlap with the clean hands maxim (see below).</w:t>
      </w:r>
    </w:p>
    <w:p w14:paraId="27B463A8"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highlight w:val="yellow"/>
        </w:rPr>
      </w:pPr>
      <w:bookmarkStart w:id="4" w:name="Equity_aids_the_vigilant.2C_not_those_wh"/>
      <w:bookmarkEnd w:id="4"/>
      <w:r w:rsidRPr="00D83A76">
        <w:rPr>
          <w:rFonts w:ascii="Times New Roman" w:eastAsia="Times New Roman" w:hAnsi="Times New Roman" w:cs="Times New Roman"/>
          <w:b/>
          <w:bCs/>
          <w:sz w:val="36"/>
          <w:szCs w:val="36"/>
        </w:rPr>
        <w:t>[</w:t>
      </w:r>
      <w:hyperlink r:id="rId42" w:tooltip="Edit section: Equity aids the vigilant, not those who slumber on their rights"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xml:space="preserve">] </w:t>
      </w:r>
      <w:r w:rsidRPr="00086346">
        <w:rPr>
          <w:rFonts w:ascii="Times New Roman" w:eastAsia="Times New Roman" w:hAnsi="Times New Roman" w:cs="Times New Roman"/>
          <w:b/>
          <w:bCs/>
          <w:sz w:val="36"/>
          <w:szCs w:val="36"/>
        </w:rPr>
        <w:t>Equity aids the vigilant, not those who slumber on their rights</w:t>
      </w:r>
    </w:p>
    <w:p w14:paraId="4E5FDC4D"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highlight w:val="yellow"/>
        </w:rPr>
      </w:pPr>
      <w:r w:rsidRPr="00D83A76">
        <w:rPr>
          <w:rFonts w:ascii="Times New Roman" w:eastAsia="Times New Roman" w:hAnsi="Times New Roman" w:cs="Times New Roman"/>
          <w:i/>
          <w:iCs/>
          <w:sz w:val="24"/>
          <w:szCs w:val="24"/>
          <w:highlight w:val="yellow"/>
        </w:rPr>
        <w:t>Vigilantibus non dormientibus aequitas subvenit</w:t>
      </w:r>
      <w:r w:rsidRPr="00D83A76">
        <w:rPr>
          <w:rFonts w:ascii="Times New Roman" w:eastAsia="Times New Roman" w:hAnsi="Times New Roman" w:cs="Times New Roman"/>
          <w:sz w:val="24"/>
          <w:szCs w:val="24"/>
          <w:highlight w:val="yellow"/>
        </w:rPr>
        <w:t>.</w:t>
      </w:r>
    </w:p>
    <w:p w14:paraId="4E935F9F" w14:textId="33D853F1"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highlight w:val="yellow"/>
        </w:rPr>
      </w:pPr>
      <w:r w:rsidRPr="00D83A76">
        <w:rPr>
          <w:rFonts w:ascii="Times New Roman" w:eastAsia="Times New Roman" w:hAnsi="Times New Roman" w:cs="Times New Roman"/>
          <w:sz w:val="24"/>
          <w:szCs w:val="24"/>
          <w:highlight w:val="yellow"/>
        </w:rPr>
        <w:t xml:space="preserve">Once the party knows they have been wronged, they must act relatively swiftly to preserve their rights. Otherwise, they are guilty of </w:t>
      </w:r>
      <w:hyperlink r:id="rId43" w:tooltip="Laches (equity)" w:history="1">
        <w:r w:rsidRPr="00086346">
          <w:rPr>
            <w:rFonts w:ascii="Times New Roman" w:eastAsia="Times New Roman" w:hAnsi="Times New Roman" w:cs="Times New Roman"/>
            <w:color w:val="0000FF"/>
            <w:sz w:val="24"/>
            <w:szCs w:val="24"/>
            <w:u w:val="single"/>
          </w:rPr>
          <w:t>laches</w:t>
        </w:r>
      </w:hyperlink>
      <w:r w:rsidRPr="00D83A76">
        <w:rPr>
          <w:rFonts w:ascii="Times New Roman" w:eastAsia="Times New Roman" w:hAnsi="Times New Roman" w:cs="Times New Roman"/>
          <w:sz w:val="24"/>
          <w:szCs w:val="24"/>
          <w:highlight w:val="yellow"/>
        </w:rPr>
        <w:t xml:space="preserve"> (not "latches!"). Laches is a defense to an action in equity. The reason for this rule is that equity favours the vigilant, and those who "sleep on their rights" may be deprived of equitable remedies. This maxim is often displaced by statutory limitations, but even where a limitation period has not yet run, equity may apply the doctrine of "laches", an equitable term used to describe delay sufficient to defeat an equitable claim.chief young dede v.african association ltd the equitable rule of laches and </w:t>
      </w:r>
      <w:r w:rsidR="00C678CC" w:rsidRPr="00D83A76">
        <w:rPr>
          <w:rFonts w:ascii="Times New Roman" w:eastAsia="Times New Roman" w:hAnsi="Times New Roman" w:cs="Times New Roman"/>
          <w:sz w:val="24"/>
          <w:szCs w:val="24"/>
          <w:highlight w:val="yellow"/>
        </w:rPr>
        <w:t>acquiescence</w:t>
      </w:r>
      <w:r w:rsidRPr="00D83A76">
        <w:rPr>
          <w:rFonts w:ascii="Times New Roman" w:eastAsia="Times New Roman" w:hAnsi="Times New Roman" w:cs="Times New Roman"/>
          <w:sz w:val="24"/>
          <w:szCs w:val="24"/>
          <w:highlight w:val="yellow"/>
        </w:rPr>
        <w:t xml:space="preserve"> was introduced.</w:t>
      </w:r>
    </w:p>
    <w:p w14:paraId="06C834F3"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highlight w:val="yellow"/>
        </w:rPr>
      </w:pPr>
      <w:r w:rsidRPr="00D83A76">
        <w:rPr>
          <w:rFonts w:ascii="Times New Roman" w:eastAsia="Times New Roman" w:hAnsi="Times New Roman" w:cs="Times New Roman"/>
          <w:sz w:val="24"/>
          <w:szCs w:val="24"/>
          <w:highlight w:val="yellow"/>
        </w:rPr>
        <w:lastRenderedPageBreak/>
        <w:t>Alternatives:</w:t>
      </w:r>
    </w:p>
    <w:p w14:paraId="49A40E1E" w14:textId="77777777" w:rsidR="00D83A76" w:rsidRPr="00D83A76" w:rsidRDefault="00D83A76" w:rsidP="00D83A76">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highlight w:val="yellow"/>
        </w:rPr>
      </w:pPr>
      <w:r w:rsidRPr="00D83A76">
        <w:rPr>
          <w:rFonts w:ascii="Times New Roman" w:eastAsia="Times New Roman" w:hAnsi="Times New Roman" w:cs="Times New Roman"/>
          <w:sz w:val="24"/>
          <w:szCs w:val="24"/>
          <w:highlight w:val="yellow"/>
        </w:rPr>
        <w:t xml:space="preserve">Delay defeats equity </w:t>
      </w:r>
    </w:p>
    <w:p w14:paraId="35BE6573" w14:textId="77777777" w:rsidR="00D83A76" w:rsidRPr="00D83A76" w:rsidRDefault="00D83A76" w:rsidP="00D83A76">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highlight w:val="yellow"/>
        </w:rPr>
      </w:pPr>
      <w:r w:rsidRPr="00D83A76">
        <w:rPr>
          <w:rFonts w:ascii="Times New Roman" w:eastAsia="Times New Roman" w:hAnsi="Times New Roman" w:cs="Times New Roman"/>
          <w:sz w:val="24"/>
          <w:szCs w:val="24"/>
          <w:highlight w:val="yellow"/>
        </w:rPr>
        <w:t xml:space="preserve">Equity Aids the Vigilant, Not Those Who Sleep on Their Rights </w:t>
      </w:r>
    </w:p>
    <w:p w14:paraId="6446AA5E"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5" w:name="Equity_imputes_an_intent_to_fulfill_an_o"/>
      <w:bookmarkEnd w:id="5"/>
      <w:r w:rsidRPr="00D83A76">
        <w:rPr>
          <w:rFonts w:ascii="Times New Roman" w:eastAsia="Times New Roman" w:hAnsi="Times New Roman" w:cs="Times New Roman"/>
          <w:b/>
          <w:bCs/>
          <w:sz w:val="36"/>
          <w:szCs w:val="36"/>
        </w:rPr>
        <w:t>[</w:t>
      </w:r>
      <w:hyperlink r:id="rId44" w:tooltip="Edit section: Equity imputes an intent to fulfill an obligation"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imputes an intent to fulfill an obligation</w:t>
      </w:r>
    </w:p>
    <w:p w14:paraId="0602BDD4"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Generally speaking, near performance of a general obligation will be treated as sufficient unless the law requires perfect performance, such as in the exercise of an option. Text writers give an example of a debtor leaving a legacy to his creditor equal or greater to his obligation. Equity regards such a gift as performance of the obligation so the creditor cannot claim both the legacy and payment of the debt.</w:t>
      </w:r>
    </w:p>
    <w:p w14:paraId="32393426"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6" w:name="Equity_acts_in_personam."/>
      <w:bookmarkEnd w:id="6"/>
      <w:r w:rsidRPr="00D83A76">
        <w:rPr>
          <w:rFonts w:ascii="Times New Roman" w:eastAsia="Times New Roman" w:hAnsi="Times New Roman" w:cs="Times New Roman"/>
          <w:b/>
          <w:bCs/>
          <w:sz w:val="36"/>
          <w:szCs w:val="36"/>
        </w:rPr>
        <w:t>[</w:t>
      </w:r>
      <w:hyperlink r:id="rId45" w:tooltip="Edit section: Equity acts in personam."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xml:space="preserve">] Equity acts </w:t>
      </w:r>
      <w:hyperlink r:id="rId46" w:tooltip="In personam" w:history="1">
        <w:r w:rsidRPr="00D83A76">
          <w:rPr>
            <w:rFonts w:ascii="Times New Roman" w:eastAsia="Times New Roman" w:hAnsi="Times New Roman" w:cs="Times New Roman"/>
            <w:b/>
            <w:bCs/>
            <w:color w:val="0000FF"/>
            <w:sz w:val="36"/>
            <w:szCs w:val="36"/>
            <w:u w:val="single"/>
          </w:rPr>
          <w:t>in personam</w:t>
        </w:r>
      </w:hyperlink>
      <w:r w:rsidRPr="00D83A76">
        <w:rPr>
          <w:rFonts w:ascii="Times New Roman" w:eastAsia="Times New Roman" w:hAnsi="Times New Roman" w:cs="Times New Roman"/>
          <w:b/>
          <w:bCs/>
          <w:sz w:val="36"/>
          <w:szCs w:val="36"/>
        </w:rPr>
        <w:t>.</w:t>
      </w:r>
    </w:p>
    <w:p w14:paraId="5792703E"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In England, there was a distinction in the type of adjudicatory jurisdiction of the courts and the chancery. Courts of law had jurisdiction over </w:t>
      </w:r>
      <w:hyperlink r:id="rId47" w:tooltip="In rem" w:history="1">
        <w:r w:rsidRPr="00D83A76">
          <w:rPr>
            <w:rFonts w:ascii="Times New Roman" w:eastAsia="Times New Roman" w:hAnsi="Times New Roman" w:cs="Times New Roman"/>
            <w:color w:val="0000FF"/>
            <w:sz w:val="24"/>
            <w:szCs w:val="24"/>
            <w:u w:val="single"/>
          </w:rPr>
          <w:t>property</w:t>
        </w:r>
      </w:hyperlink>
      <w:r w:rsidRPr="00D83A76">
        <w:rPr>
          <w:rFonts w:ascii="Times New Roman" w:eastAsia="Times New Roman" w:hAnsi="Times New Roman" w:cs="Times New Roman"/>
          <w:sz w:val="24"/>
          <w:szCs w:val="24"/>
        </w:rPr>
        <w:t xml:space="preserve">, and their coercive power arose out of their ability to adjust ownership rights. Courts of equity had power over individuals. Their coercive power was the ability, on authority of the crown, to hold a violator in </w:t>
      </w:r>
      <w:hyperlink r:id="rId48" w:tooltip="Contempt of court" w:history="1">
        <w:r w:rsidRPr="00D83A76">
          <w:rPr>
            <w:rFonts w:ascii="Times New Roman" w:eastAsia="Times New Roman" w:hAnsi="Times New Roman" w:cs="Times New Roman"/>
            <w:color w:val="0000FF"/>
            <w:sz w:val="24"/>
            <w:szCs w:val="24"/>
            <w:u w:val="single"/>
          </w:rPr>
          <w:t>contempt</w:t>
        </w:r>
      </w:hyperlink>
      <w:r w:rsidRPr="00D83A76">
        <w:rPr>
          <w:rFonts w:ascii="Times New Roman" w:eastAsia="Times New Roman" w:hAnsi="Times New Roman" w:cs="Times New Roman"/>
          <w:sz w:val="24"/>
          <w:szCs w:val="24"/>
        </w:rPr>
        <w:t>, and take away his or her freedom (or money) until he obeyed. This distinction helped preserve a separation of powers between the two courts.</w:t>
      </w:r>
    </w:p>
    <w:p w14:paraId="27E8DD95" w14:textId="16C64E08"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Nevertheless, courts of equity also developed a doctrine that an applicant must assert a "prope</w:t>
      </w:r>
      <w:r w:rsidR="002B772B">
        <w:rPr>
          <w:rFonts w:ascii="Times New Roman" w:eastAsia="Times New Roman" w:hAnsi="Times New Roman" w:cs="Times New Roman"/>
          <w:sz w:val="24"/>
          <w:szCs w:val="24"/>
        </w:rPr>
        <w:t>rty interest." This was a limit</w:t>
      </w:r>
      <w:r w:rsidRPr="00D83A76">
        <w:rPr>
          <w:rFonts w:ascii="Times New Roman" w:eastAsia="Times New Roman" w:hAnsi="Times New Roman" w:cs="Times New Roman"/>
          <w:sz w:val="24"/>
          <w:szCs w:val="24"/>
        </w:rPr>
        <w:t>ation on their own power to issue relief. It does not mean that the courts of equity had taken jurisdiction over property. Rather, it required that the applicant be asserting a right of some significance, as opposed to emotional and dignitary interests.</w:t>
      </w:r>
    </w:p>
    <w:p w14:paraId="2B89558D"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7" w:name="Equity_abhors_a_forfeiture"/>
      <w:bookmarkEnd w:id="7"/>
      <w:r w:rsidRPr="00D83A76">
        <w:rPr>
          <w:rFonts w:ascii="Times New Roman" w:eastAsia="Times New Roman" w:hAnsi="Times New Roman" w:cs="Times New Roman"/>
          <w:b/>
          <w:bCs/>
          <w:sz w:val="36"/>
          <w:szCs w:val="36"/>
        </w:rPr>
        <w:t>[</w:t>
      </w:r>
      <w:hyperlink r:id="rId49" w:tooltip="Edit section: Equity abhors a forfeiture"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abhors a forfeiture</w:t>
      </w:r>
    </w:p>
    <w:p w14:paraId="4EA3D372" w14:textId="7F891CDF"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Today, a mortgagor refers to his interest in the property as his "equity." The origin of the concept, however, was actually a mirror-image of the current practice. At common law, a mortgage was a conveyance of the property, with a condition subsequent, that if the grantor paid the secured indebte</w:t>
      </w:r>
      <w:r w:rsidR="00DD4AAC">
        <w:rPr>
          <w:rFonts w:ascii="Times New Roman" w:eastAsia="Times New Roman" w:hAnsi="Times New Roman" w:cs="Times New Roman"/>
          <w:sz w:val="24"/>
          <w:szCs w:val="24"/>
        </w:rPr>
        <w:t>d</w:t>
      </w:r>
      <w:r w:rsidRPr="00D83A76">
        <w:rPr>
          <w:rFonts w:ascii="Times New Roman" w:eastAsia="Times New Roman" w:hAnsi="Times New Roman" w:cs="Times New Roman"/>
          <w:sz w:val="24"/>
          <w:szCs w:val="24"/>
        </w:rPr>
        <w:t xml:space="preserve">ness to the grantee on or before a date certain (the "law" day) then the conveyance would be void, otherwise to remain in full force and effect. As was inevitable, debtors would be unable to pay on the law day, and if they tendered the debt after the time had passed, the creditor owed no duty to give the land back. So then the debtor would run to the court of equity, plead that there was an unconscionable forfeiture about to occur, and beg the court to grant an equitable decree requiring the lender to surrender the property upon payment of the secured debt with interest to date. And the equity courts granted these petitions quite regularly and often without regard for the amount of time that had lapsed since the law day had passed. The lender could interpose a defense of laches, saying that so much time had gone by (and so much improvement and betterment had taken place) that it would be inequitable to require undoing the finality of the mortgage conveyance. Other defenses, including equitable estoppel, were used to bar redemption as well. </w:t>
      </w:r>
      <w:r w:rsidRPr="00D83A76">
        <w:rPr>
          <w:rFonts w:ascii="Times New Roman" w:eastAsia="Times New Roman" w:hAnsi="Times New Roman" w:cs="Times New Roman"/>
          <w:sz w:val="24"/>
          <w:szCs w:val="24"/>
          <w:highlight w:val="yellow"/>
        </w:rPr>
        <w:t xml:space="preserve">This unsettling system had a negative impact on the willingness of lenders to accept real estate as collateral security for loans. Since a lender could </w:t>
      </w:r>
      <w:r w:rsidRPr="00D83A76">
        <w:rPr>
          <w:rFonts w:ascii="Times New Roman" w:eastAsia="Times New Roman" w:hAnsi="Times New Roman" w:cs="Times New Roman"/>
          <w:sz w:val="24"/>
          <w:szCs w:val="24"/>
          <w:highlight w:val="yellow"/>
        </w:rPr>
        <w:lastRenderedPageBreak/>
        <w:t>not re-sell the property until it had been in uncontested possession for years, or unless it could show changed circumstances, the value of real estate collateral was significantly impaired. Impaired, that is, until lawyers concocted the bill of foreclosure, whereby a mortgagee could request a decree that unless the mortgagor paid the debt by a date certain (and after the law date set in the mortgage), the mortgagor would thereafter be barred and foreclosed of all right, title and equity of redemption in and to the mortgaged premises. To complete the circle, one needs to understand that when a mortgagor fails to pay an installment when due, and the mortgagee accelerates the mortgage, requiring immediate repayment of the entire mortgage indebtedness, the mortgagor does not have a right to pay the past-due installment(s) and have the mortgage reinstated</w:t>
      </w:r>
      <w:r w:rsidRPr="00D83A76">
        <w:rPr>
          <w:rFonts w:ascii="Times New Roman" w:eastAsia="Times New Roman" w:hAnsi="Times New Roman" w:cs="Times New Roman"/>
          <w:sz w:val="24"/>
          <w:szCs w:val="24"/>
        </w:rPr>
        <w:t>. In Graf v. Hope Building Corp., 254 NY 1 (1930), the New York Court of Appeals observed that in such a case, there was no forfeiture, only the operation of a clause fair on its face, to which the mortgagor had freely assented. In the latter 20th Century, New York's lower courts eroded the Graf doctrine to such a degree that it appears that it is no longer the law, and that a court of conscience has the power to mandate that a default be excused if it is equitable to do so. Of course, now that the pendulum is swinging in the opposite direction, we can expect courts to explain where the limits on the newly-expanded equity of redemption lie...and it is probably not a coincidence that the cases that have eroded Graf v. Hope Building Corp. have been accompanied by the rise of arbitration as a means for enforcing mortgages. See, generally, Osborne, Real Estate Finance Law (West, 1979), Chapter 7.</w:t>
      </w:r>
    </w:p>
    <w:p w14:paraId="7DF3925A"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8" w:name="Equity_does_not_require_an_idle_gesture"/>
      <w:bookmarkEnd w:id="8"/>
      <w:r w:rsidRPr="00D83A76">
        <w:rPr>
          <w:rFonts w:ascii="Times New Roman" w:eastAsia="Times New Roman" w:hAnsi="Times New Roman" w:cs="Times New Roman"/>
          <w:b/>
          <w:bCs/>
          <w:sz w:val="36"/>
          <w:szCs w:val="36"/>
        </w:rPr>
        <w:t>[</w:t>
      </w:r>
      <w:hyperlink r:id="rId50" w:tooltip="Edit section: Equity does not require an idle gesture"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does not require an idle gesture</w:t>
      </w:r>
    </w:p>
    <w:p w14:paraId="04429404"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Also: Equity will not compel a court to do a vain and useless thing. It would be an idle gesture for the court to grant reformation of a contract and then to deny to the prevailing party an opportunity to perform it as modified.</w:t>
      </w:r>
    </w:p>
    <w:p w14:paraId="093500BF"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9" w:name="One_who_comes_into_equity_must_come_with"/>
      <w:bookmarkEnd w:id="9"/>
      <w:r w:rsidRPr="00D83A76">
        <w:rPr>
          <w:rFonts w:ascii="Times New Roman" w:eastAsia="Times New Roman" w:hAnsi="Times New Roman" w:cs="Times New Roman"/>
          <w:b/>
          <w:bCs/>
          <w:sz w:val="36"/>
          <w:szCs w:val="36"/>
        </w:rPr>
        <w:t>[</w:t>
      </w:r>
      <w:hyperlink r:id="rId51" w:tooltip="Edit section: One who comes into equity must come with clean hands"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One who comes into equity must come with clean hands</w:t>
      </w:r>
    </w:p>
    <w:p w14:paraId="516A6811"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It is often stated that One who comes into equity must come with </w:t>
      </w:r>
      <w:hyperlink r:id="rId52" w:tooltip="Unclean hands" w:history="1">
        <w:r w:rsidRPr="00D83A76">
          <w:rPr>
            <w:rFonts w:ascii="Times New Roman" w:eastAsia="Times New Roman" w:hAnsi="Times New Roman" w:cs="Times New Roman"/>
            <w:color w:val="0000FF"/>
            <w:sz w:val="24"/>
            <w:szCs w:val="24"/>
            <w:u w:val="single"/>
          </w:rPr>
          <w:t>clean hands</w:t>
        </w:r>
      </w:hyperlink>
      <w:r w:rsidRPr="00D83A76">
        <w:rPr>
          <w:rFonts w:ascii="Times New Roman" w:eastAsia="Times New Roman" w:hAnsi="Times New Roman" w:cs="Times New Roman"/>
          <w:sz w:val="24"/>
          <w:szCs w:val="24"/>
        </w:rPr>
        <w:t>. In other words, if you ask for help about the actions of someone else but have acted wrongly, then you do not have clean hands and you may not receive the help you seek. For example, if you desire your tenant to vacate, you must have not violated the tenant's rights.</w:t>
      </w:r>
    </w:p>
    <w:p w14:paraId="7A27355B"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However, the requirement of clean hands does not mean that a "bad person" cannot obtain the aid of Equity. "Equity does not demand that its suitors shall have led blameless lives." Loughran v. Loughran, 292 U.S. 215, 229 (1934) (Brandeis, J.). The defense of unclean hands only applies if there is a nexus between the applicant's wrongful act and the rights he wishes to enforce. Even Scrooge could obtain equitable relief provided he was not suing to enforce a right he acquired through trickery or fraud.</w:t>
      </w:r>
    </w:p>
    <w:p w14:paraId="4D36D473"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Alternatives:</w:t>
      </w:r>
    </w:p>
    <w:p w14:paraId="4B812B4D" w14:textId="77777777" w:rsidR="00D83A76" w:rsidRPr="00D83A76" w:rsidRDefault="00D83A76" w:rsidP="00D83A76">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Equity will not permit a party to profit by his own wrong </w:t>
      </w:r>
    </w:p>
    <w:p w14:paraId="3566F58D"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lastRenderedPageBreak/>
        <w:t xml:space="preserve">For instance, in </w:t>
      </w:r>
      <w:hyperlink r:id="rId53" w:tooltip="Riggs v. Palmer" w:history="1">
        <w:r w:rsidRPr="00D83A76">
          <w:rPr>
            <w:rFonts w:ascii="Times New Roman" w:eastAsia="Times New Roman" w:hAnsi="Times New Roman" w:cs="Times New Roman"/>
            <w:color w:val="0000FF"/>
            <w:sz w:val="24"/>
            <w:szCs w:val="24"/>
            <w:u w:val="single"/>
          </w:rPr>
          <w:t>Riggs v. Palmer</w:t>
        </w:r>
      </w:hyperlink>
      <w:r w:rsidRPr="00D83A76">
        <w:rPr>
          <w:rFonts w:ascii="Times New Roman" w:eastAsia="Times New Roman" w:hAnsi="Times New Roman" w:cs="Times New Roman"/>
          <w:sz w:val="24"/>
          <w:szCs w:val="24"/>
        </w:rPr>
        <w:t xml:space="preserve"> (1889) 115 N.Y. 506, a man who had killed his grandfather to receive his inheritance more quickly (and for fear that his grandfather may change his will) lost all right(s) to the inheritance.</w:t>
      </w:r>
    </w:p>
    <w:p w14:paraId="49E6EE20"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In D&amp;C Builders v. Rees (1966) a small building firm did some work on the house of a couple named Rees. The bill came to 732 pounds, of which the Rees had already paid 250 pounds. When the builders asked for the balance of 482 pounds, the Rees announced that the work was defective, and they were only prepared to pay 300 pounds. As the builders were in serious financial difficulties (as the Rees knew), they reluctantly accepted the 300 pounds 'in completion of the account'. The decision to accept the money would not normally be binding in contract law, and afterwards the builders sued the Rees for the outstanding amount. The Rees claimed that the court should apply the doctrine of </w:t>
      </w:r>
      <w:hyperlink r:id="rId54" w:tooltip="Equitable estoppel" w:history="1">
        <w:r w:rsidRPr="00D83A76">
          <w:rPr>
            <w:rFonts w:ascii="Times New Roman" w:eastAsia="Times New Roman" w:hAnsi="Times New Roman" w:cs="Times New Roman"/>
            <w:color w:val="0000FF"/>
            <w:sz w:val="24"/>
            <w:szCs w:val="24"/>
            <w:u w:val="single"/>
          </w:rPr>
          <w:t>equitable estoppel</w:t>
        </w:r>
      </w:hyperlink>
      <w:r w:rsidRPr="00D83A76">
        <w:rPr>
          <w:rFonts w:ascii="Times New Roman" w:eastAsia="Times New Roman" w:hAnsi="Times New Roman" w:cs="Times New Roman"/>
          <w:sz w:val="24"/>
          <w:szCs w:val="24"/>
        </w:rPr>
        <w:t xml:space="preserve">, which can make promises binding when they would normally not be. However, </w:t>
      </w:r>
      <w:hyperlink r:id="rId55" w:tooltip="Tom Denning, Baron Denning" w:history="1">
        <w:r w:rsidRPr="00D83A76">
          <w:rPr>
            <w:rFonts w:ascii="Times New Roman" w:eastAsia="Times New Roman" w:hAnsi="Times New Roman" w:cs="Times New Roman"/>
            <w:color w:val="0000FF"/>
            <w:sz w:val="24"/>
            <w:szCs w:val="24"/>
            <w:u w:val="single"/>
          </w:rPr>
          <w:t>Lord Denning</w:t>
        </w:r>
      </w:hyperlink>
      <w:r w:rsidRPr="00D83A76">
        <w:rPr>
          <w:rFonts w:ascii="Times New Roman" w:eastAsia="Times New Roman" w:hAnsi="Times New Roman" w:cs="Times New Roman"/>
          <w:sz w:val="24"/>
          <w:szCs w:val="24"/>
        </w:rPr>
        <w:t xml:space="preserve"> refused to apply the doctrine, on the grounds that the Rees had taken unfair advantage of the builders' financial difficulties, and therefore had not come 'with clean hands'.</w:t>
      </w:r>
    </w:p>
    <w:p w14:paraId="3B4A1B8A" w14:textId="77777777" w:rsidR="00D83A76" w:rsidRPr="00D83A76" w:rsidRDefault="00D83A76" w:rsidP="00D83A76">
      <w:pPr>
        <w:numPr>
          <w:ilvl w:val="0"/>
          <w:numId w:val="5"/>
        </w:num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Further reading: </w:t>
      </w:r>
      <w:hyperlink r:id="rId56" w:tooltip="http://www.lectlaw.com/def/c202.htm" w:history="1">
        <w:r w:rsidRPr="00D83A76">
          <w:rPr>
            <w:rFonts w:ascii="Times New Roman" w:eastAsia="Times New Roman" w:hAnsi="Times New Roman" w:cs="Times New Roman"/>
            <w:color w:val="0000FF"/>
            <w:sz w:val="24"/>
            <w:szCs w:val="24"/>
            <w:u w:val="single"/>
          </w:rPr>
          <w:t>The 'Lectric Law Library's Lexicon On Clean Hands Doctrine</w:t>
        </w:r>
      </w:hyperlink>
      <w:r w:rsidRPr="00D83A76">
        <w:rPr>
          <w:rFonts w:ascii="Times New Roman" w:eastAsia="Times New Roman" w:hAnsi="Times New Roman" w:cs="Times New Roman"/>
          <w:sz w:val="24"/>
          <w:szCs w:val="24"/>
        </w:rPr>
        <w:t xml:space="preserve"> </w:t>
      </w:r>
    </w:p>
    <w:p w14:paraId="250F55C6"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0" w:name="Equity_delights_to_do_justice_and_not_by"/>
      <w:bookmarkEnd w:id="10"/>
      <w:r w:rsidRPr="00D83A76">
        <w:rPr>
          <w:rFonts w:ascii="Times New Roman" w:eastAsia="Times New Roman" w:hAnsi="Times New Roman" w:cs="Times New Roman"/>
          <w:b/>
          <w:bCs/>
          <w:sz w:val="36"/>
          <w:szCs w:val="36"/>
        </w:rPr>
        <w:t>[</w:t>
      </w:r>
      <w:hyperlink r:id="rId57" w:tooltip="Edit section: Equity delights to do justice and not by halves"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delights to do justice and not by halves</w:t>
      </w:r>
    </w:p>
    <w:p w14:paraId="585A6232"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When a court of equity is presented with a good claim to equitable relief, and it is clear that the plaintiff </w:t>
      </w:r>
      <w:r w:rsidRPr="00D83A76">
        <w:rPr>
          <w:rFonts w:ascii="Times New Roman" w:eastAsia="Times New Roman" w:hAnsi="Times New Roman" w:cs="Times New Roman"/>
          <w:i/>
          <w:iCs/>
          <w:sz w:val="24"/>
          <w:szCs w:val="24"/>
        </w:rPr>
        <w:t>also</w:t>
      </w:r>
      <w:r w:rsidRPr="00D83A76">
        <w:rPr>
          <w:rFonts w:ascii="Times New Roman" w:eastAsia="Times New Roman" w:hAnsi="Times New Roman" w:cs="Times New Roman"/>
          <w:sz w:val="24"/>
          <w:szCs w:val="24"/>
        </w:rPr>
        <w:t xml:space="preserve"> sustained monetary damages, the court of equity has jurisdiction to render legal relief, e.g., monetary damages. Hence equity does not stop at granting equitable relief, but goes on to render a full and complete collection of remedies.</w:t>
      </w:r>
    </w:p>
    <w:p w14:paraId="1E760D21"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1" w:name="Equity_will_take_jurisdiction_to_avoid_a"/>
      <w:bookmarkEnd w:id="11"/>
      <w:r w:rsidRPr="00D83A76">
        <w:rPr>
          <w:rFonts w:ascii="Times New Roman" w:eastAsia="Times New Roman" w:hAnsi="Times New Roman" w:cs="Times New Roman"/>
          <w:b/>
          <w:bCs/>
          <w:sz w:val="36"/>
          <w:szCs w:val="36"/>
        </w:rPr>
        <w:t>[</w:t>
      </w:r>
      <w:hyperlink r:id="rId58" w:tooltip="Edit section: Equity will take jurisdiction to avoid a multiplicity of suits"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will take jurisdiction to avoid a multiplicity of suits</w:t>
      </w:r>
    </w:p>
    <w:p w14:paraId="31E27338"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Thus, "where a court of equity has all the parties before it, it will adjudicate upon all of the rights of the parties connected with the subject matter of the action, so as to avoid a multiplicity of suits." </w:t>
      </w:r>
      <w:hyperlink r:id="rId59" w:tooltip="Burnworth v. Hughes (page does not exist)" w:history="1">
        <w:r w:rsidRPr="00D83A76">
          <w:rPr>
            <w:rFonts w:ascii="Times New Roman" w:eastAsia="Times New Roman" w:hAnsi="Times New Roman" w:cs="Times New Roman"/>
            <w:color w:val="CC2200"/>
            <w:sz w:val="24"/>
            <w:szCs w:val="24"/>
            <w:u w:val="single"/>
          </w:rPr>
          <w:t>Burnworth v. Hughes</w:t>
        </w:r>
      </w:hyperlink>
      <w:r w:rsidRPr="00D83A76">
        <w:rPr>
          <w:rFonts w:ascii="Times New Roman" w:eastAsia="Times New Roman" w:hAnsi="Times New Roman" w:cs="Times New Roman"/>
          <w:sz w:val="24"/>
          <w:szCs w:val="24"/>
        </w:rPr>
        <w:t xml:space="preserve">, 670 P.2d 917, 922 (Kan. 1983). This is the basis for the procedures of </w:t>
      </w:r>
      <w:hyperlink r:id="rId60" w:tooltip="Interpleader" w:history="1">
        <w:r w:rsidRPr="00D83A76">
          <w:rPr>
            <w:rFonts w:ascii="Times New Roman" w:eastAsia="Times New Roman" w:hAnsi="Times New Roman" w:cs="Times New Roman"/>
            <w:color w:val="0000FF"/>
            <w:sz w:val="24"/>
            <w:szCs w:val="24"/>
            <w:u w:val="single"/>
          </w:rPr>
          <w:t>interpleader</w:t>
        </w:r>
      </w:hyperlink>
      <w:r w:rsidRPr="00D83A76">
        <w:rPr>
          <w:rFonts w:ascii="Times New Roman" w:eastAsia="Times New Roman" w:hAnsi="Times New Roman" w:cs="Times New Roman"/>
          <w:sz w:val="24"/>
          <w:szCs w:val="24"/>
        </w:rPr>
        <w:t xml:space="preserve"> and the more rarely used </w:t>
      </w:r>
      <w:r w:rsidRPr="00D83A76">
        <w:rPr>
          <w:rFonts w:ascii="Times New Roman" w:eastAsia="Times New Roman" w:hAnsi="Times New Roman" w:cs="Times New Roman"/>
          <w:i/>
          <w:iCs/>
          <w:sz w:val="24"/>
          <w:szCs w:val="24"/>
        </w:rPr>
        <w:t>bill of peace</w:t>
      </w:r>
      <w:r w:rsidRPr="00D83A76">
        <w:rPr>
          <w:rFonts w:ascii="Times New Roman" w:eastAsia="Times New Roman" w:hAnsi="Times New Roman" w:cs="Times New Roman"/>
          <w:sz w:val="24"/>
          <w:szCs w:val="24"/>
        </w:rPr>
        <w:t>.</w:t>
      </w:r>
    </w:p>
    <w:p w14:paraId="576B0914"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2" w:name="Equity_follows_the_law"/>
      <w:bookmarkEnd w:id="12"/>
      <w:r w:rsidRPr="00D83A76">
        <w:rPr>
          <w:rFonts w:ascii="Times New Roman" w:eastAsia="Times New Roman" w:hAnsi="Times New Roman" w:cs="Times New Roman"/>
          <w:b/>
          <w:bCs/>
          <w:sz w:val="36"/>
          <w:szCs w:val="36"/>
        </w:rPr>
        <w:t>[</w:t>
      </w:r>
      <w:hyperlink r:id="rId61" w:tooltip="Edit section: Equity follows the law"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follows the law</w:t>
      </w:r>
    </w:p>
    <w:p w14:paraId="40482705"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Equity will not allow a remedy that is contrary to law. The court of Chancery never claimed to override the courts of common law. In story on equity 3rd English ed. 1920 pg.34,"where a rule, either of the common or the statute law is direct, and governs the case with all its circumstances, or the particular pint, a court of equity is a much bound by it as a court of law, and can as little justify a departure from it." it is only when there is some important circumstance disregarded by the common law rules that equity interferes. As per Cardozo in </w:t>
      </w:r>
      <w:r w:rsidRPr="00D83A76">
        <w:rPr>
          <w:rFonts w:ascii="Times New Roman" w:eastAsia="Times New Roman" w:hAnsi="Times New Roman" w:cs="Times New Roman"/>
          <w:i/>
          <w:iCs/>
          <w:sz w:val="24"/>
          <w:szCs w:val="24"/>
        </w:rPr>
        <w:t>Graf v. Hope Building Corporation</w:t>
      </w:r>
      <w:r w:rsidRPr="00D83A76">
        <w:rPr>
          <w:rFonts w:ascii="Times New Roman" w:eastAsia="Times New Roman" w:hAnsi="Times New Roman" w:cs="Times New Roman"/>
          <w:sz w:val="24"/>
          <w:szCs w:val="24"/>
        </w:rPr>
        <w:t>, 254 N.Y 1 at 9 (1930), "Equity works as a supplement for law and does not supersede the prevailing law."</w:t>
      </w:r>
    </w:p>
    <w:p w14:paraId="2B0DD418"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3" w:name="Equity_will_not_aid_a_volunteer"/>
      <w:bookmarkEnd w:id="13"/>
      <w:r w:rsidRPr="00D83A76">
        <w:rPr>
          <w:rFonts w:ascii="Times New Roman" w:eastAsia="Times New Roman" w:hAnsi="Times New Roman" w:cs="Times New Roman"/>
          <w:b/>
          <w:bCs/>
          <w:sz w:val="36"/>
          <w:szCs w:val="36"/>
        </w:rPr>
        <w:lastRenderedPageBreak/>
        <w:t>[</w:t>
      </w:r>
      <w:hyperlink r:id="rId62" w:tooltip="Edit section: Equity will not aid a volunteer"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will not aid a volunteer</w:t>
      </w:r>
    </w:p>
    <w:p w14:paraId="4C8E5810"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Equity cannot be used to take back a benefit that was voluntarily but mistakenly conferred without consultation of the receiver. This maxim protects the doctrine of choice.</w:t>
      </w:r>
    </w:p>
    <w:p w14:paraId="0BD53243"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This maxim is very important in restitution. Restitution developed as a series of writs called special assumpsit, which were later additions in the courts of law, and were more flexible tools of recovery, based on Equity. Restitution could provide means of recovery when people bestowed benefits on one another (such as giving money or providing services) according to contracts that would have been legally unenforceable.</w:t>
      </w:r>
    </w:p>
    <w:p w14:paraId="0CF5DCA8"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However, pursuant to the equitable maxim, restitution does not allow a volunteer or "officious intermeddler" to recover. A volunteer is not merely someone who acts selflessly. In the legal (and equitable) context, it refers to someone who provides a benefit regardless of whether the recipient wants it. For example, when someone mistakenly builds an improvement on a home, neither equity nor restitution will allow the improver to recover from the homeowner.</w:t>
      </w:r>
    </w:p>
    <w:p w14:paraId="4F1EC1DE"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The exception is if the doctrine of </w:t>
      </w:r>
      <w:hyperlink r:id="rId63" w:tooltip="Estoppel" w:history="1">
        <w:r w:rsidRPr="00D83A76">
          <w:rPr>
            <w:rFonts w:ascii="Times New Roman" w:eastAsia="Times New Roman" w:hAnsi="Times New Roman" w:cs="Times New Roman"/>
            <w:color w:val="0000FF"/>
            <w:sz w:val="24"/>
            <w:szCs w:val="24"/>
            <w:u w:val="single"/>
          </w:rPr>
          <w:t>estoppel</w:t>
        </w:r>
      </w:hyperlink>
      <w:r w:rsidRPr="00D83A76">
        <w:rPr>
          <w:rFonts w:ascii="Times New Roman" w:eastAsia="Times New Roman" w:hAnsi="Times New Roman" w:cs="Times New Roman"/>
          <w:sz w:val="24"/>
          <w:szCs w:val="24"/>
        </w:rPr>
        <w:t xml:space="preserve"> applies.</w:t>
      </w:r>
    </w:p>
    <w:p w14:paraId="6A003B43"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4" w:name="Between_equal_equities_the_law_will_prev"/>
      <w:bookmarkEnd w:id="14"/>
      <w:r w:rsidRPr="00D83A76">
        <w:rPr>
          <w:rFonts w:ascii="Times New Roman" w:eastAsia="Times New Roman" w:hAnsi="Times New Roman" w:cs="Times New Roman"/>
          <w:b/>
          <w:bCs/>
          <w:sz w:val="36"/>
          <w:szCs w:val="36"/>
        </w:rPr>
        <w:t>[</w:t>
      </w:r>
      <w:hyperlink r:id="rId64" w:tooltip="Edit section: Between equal equities the law will prevail"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Between equal equities the law will prevail</w:t>
      </w:r>
    </w:p>
    <w:p w14:paraId="25EE5C79"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Equity will provide no specific remedies where the parties are equal, or where neither has been wronged.</w:t>
      </w:r>
    </w:p>
    <w:p w14:paraId="445E4D59" w14:textId="47FC0A80"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The significance of this maxim is that applicants to the chancellors often did so because of the formal pleading of the law courts, and the lack of flexibility they offered to litigants. Law courts and legislature, as lawmakers, through the limits of the substantive law they had created, thus inculcated a certain status quo that affected private conduct, and private ordering of disputes. Equity, in theory, had the power to alter that status quo, ignoring the limits of legal relief, or legal </w:t>
      </w:r>
      <w:r w:rsidR="00494499">
        <w:rPr>
          <w:rFonts w:ascii="Times New Roman" w:eastAsia="Times New Roman" w:hAnsi="Times New Roman" w:cs="Times New Roman"/>
          <w:sz w:val="24"/>
          <w:szCs w:val="24"/>
        </w:rPr>
        <w:t>defence</w:t>
      </w:r>
      <w:bookmarkStart w:id="15" w:name="_GoBack"/>
      <w:bookmarkEnd w:id="15"/>
      <w:r w:rsidRPr="00D83A76">
        <w:rPr>
          <w:rFonts w:ascii="Times New Roman" w:eastAsia="Times New Roman" w:hAnsi="Times New Roman" w:cs="Times New Roman"/>
          <w:sz w:val="24"/>
          <w:szCs w:val="24"/>
        </w:rPr>
        <w:t>. But, they were hesitant to do so. This maxim reflects the hesitancy to upset the legal status quo. If in such a case, the law created no cause of action, equity would provide no relief; if the law did provide relief, then the applicant would be obligated to bring a legal, rather than equitable action. This maxim overlaps with the previously-mentioned "equity follows the law."</w:t>
      </w:r>
    </w:p>
    <w:p w14:paraId="70CA1C6E"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6" w:name="Between_equal_equities_the_first_in_orde"/>
      <w:bookmarkEnd w:id="16"/>
      <w:r w:rsidRPr="00D83A76">
        <w:rPr>
          <w:rFonts w:ascii="Times New Roman" w:eastAsia="Times New Roman" w:hAnsi="Times New Roman" w:cs="Times New Roman"/>
          <w:b/>
          <w:bCs/>
          <w:sz w:val="36"/>
          <w:szCs w:val="36"/>
        </w:rPr>
        <w:t>[</w:t>
      </w:r>
      <w:hyperlink r:id="rId65" w:tooltip="Edit section: Between equal equities the first in order of time shall prevail"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Between equal equities the first in order of time shall prevail</w:t>
      </w:r>
    </w:p>
    <w:p w14:paraId="14B1A4A5"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This maxim operates where there are two or more competing interests, one legal and the other equitable. Where the claims of both parties are fair and meritorious, precedence will be given to the legal interest. This maxim was developed in connection with interests in lands. When a purchaser acquires property bona fide without notice of a defect in the vendor’s title, the equities are equal and the legal estate will prevail. If the purchaser takes title with notice of the defect, the earlier title, if valid, will prevail. The force of this maxim has largely been displaced by legislated systems of land title registration.</w:t>
      </w:r>
    </w:p>
    <w:p w14:paraId="7E060B01"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7" w:name="Equity_will_not_complete_an_imperfect_gi"/>
      <w:bookmarkEnd w:id="17"/>
      <w:r w:rsidRPr="00D83A76">
        <w:rPr>
          <w:rFonts w:ascii="Times New Roman" w:eastAsia="Times New Roman" w:hAnsi="Times New Roman" w:cs="Times New Roman"/>
          <w:b/>
          <w:bCs/>
          <w:sz w:val="36"/>
          <w:szCs w:val="36"/>
        </w:rPr>
        <w:lastRenderedPageBreak/>
        <w:t>[</w:t>
      </w:r>
      <w:hyperlink r:id="rId66" w:tooltip="Edit section: Equity will not complete an imperfect gift"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will not complete an imperfect gift</w:t>
      </w:r>
    </w:p>
    <w:p w14:paraId="48E126FD"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If a donor has made an imperfect gift, ie lacking the formalities required at common law, equity will not assist the intended donee. A subset of equity will not assist a volunteer.</w:t>
      </w:r>
    </w:p>
    <w:p w14:paraId="00A19B0B"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 xml:space="preserve">Note the exception in </w:t>
      </w:r>
      <w:r w:rsidRPr="00D83A76">
        <w:rPr>
          <w:rFonts w:ascii="Times New Roman" w:eastAsia="Times New Roman" w:hAnsi="Times New Roman" w:cs="Times New Roman"/>
          <w:i/>
          <w:iCs/>
          <w:sz w:val="24"/>
          <w:szCs w:val="24"/>
        </w:rPr>
        <w:t>Strong v Bird</w:t>
      </w:r>
      <w:r w:rsidRPr="00D83A76">
        <w:rPr>
          <w:rFonts w:ascii="Times New Roman" w:eastAsia="Times New Roman" w:hAnsi="Times New Roman" w:cs="Times New Roman"/>
          <w:sz w:val="24"/>
          <w:szCs w:val="24"/>
        </w:rPr>
        <w:t xml:space="preserve"> (1874) LR 18 Eq 315. If the donor appoints the intended donee as executor of his/her will, and the donor subsequently dies, equity will perfect the imperfect gift.</w:t>
      </w:r>
    </w:p>
    <w:p w14:paraId="52C5B462"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8" w:name="Equity_will_not_allow_a_statute_to_be_us"/>
      <w:bookmarkEnd w:id="18"/>
      <w:r w:rsidRPr="00D83A76">
        <w:rPr>
          <w:rFonts w:ascii="Times New Roman" w:eastAsia="Times New Roman" w:hAnsi="Times New Roman" w:cs="Times New Roman"/>
          <w:b/>
          <w:bCs/>
          <w:sz w:val="36"/>
          <w:szCs w:val="36"/>
        </w:rPr>
        <w:t>[</w:t>
      </w:r>
      <w:hyperlink r:id="rId67" w:tooltip="Edit section: Equity will not allow a statute to be used as a cloak for fraud"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will not allow a statute to be used as a cloak for fraud</w:t>
      </w:r>
    </w:p>
    <w:p w14:paraId="05A60712"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Equity prevents a party from relying upon an absence of a statutory formality if to do so would be unconscionable and unfair.</w:t>
      </w:r>
    </w:p>
    <w:p w14:paraId="4D69F8F5"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19" w:name="Equity_will_not_allow_a_trust_to_fail_fo"/>
      <w:bookmarkEnd w:id="19"/>
      <w:r w:rsidRPr="00D83A76">
        <w:rPr>
          <w:rFonts w:ascii="Times New Roman" w:eastAsia="Times New Roman" w:hAnsi="Times New Roman" w:cs="Times New Roman"/>
          <w:b/>
          <w:bCs/>
          <w:sz w:val="36"/>
          <w:szCs w:val="36"/>
        </w:rPr>
        <w:t>[</w:t>
      </w:r>
      <w:hyperlink r:id="rId68" w:tooltip="Edit section: Equity will not allow a trust to fail for want of a trustee"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Equity will not allow a trust to fail for want of a trustee</w:t>
      </w:r>
    </w:p>
    <w:p w14:paraId="7580AA6A" w14:textId="77777777" w:rsidR="00D83A76" w:rsidRPr="00D83A76" w:rsidRDefault="00D83A76" w:rsidP="00D83A76">
      <w:pPr>
        <w:shd w:val="clear" w:color="auto" w:fill="F8FCFF"/>
        <w:spacing w:before="100" w:beforeAutospacing="1" w:after="100" w:afterAutospacing="1"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If there is no trustee, whoever has title to the trust property will be considered the trustee. Otherwise, a court may appoint a trustee, or in Ireland the trustee may be any administrator of a charity which the trust is related to.</w:t>
      </w:r>
    </w:p>
    <w:p w14:paraId="6416956C"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20" w:name="See_also"/>
      <w:bookmarkEnd w:id="20"/>
      <w:r w:rsidRPr="00D83A76">
        <w:rPr>
          <w:rFonts w:ascii="Times New Roman" w:eastAsia="Times New Roman" w:hAnsi="Times New Roman" w:cs="Times New Roman"/>
          <w:b/>
          <w:bCs/>
          <w:sz w:val="36"/>
          <w:szCs w:val="36"/>
        </w:rPr>
        <w:t>[</w:t>
      </w:r>
      <w:hyperlink r:id="rId69" w:tooltip="Edit section: See also"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See also</w:t>
      </w:r>
    </w:p>
    <w:p w14:paraId="516F463F" w14:textId="77777777" w:rsidR="00D83A76" w:rsidRPr="00D83A76" w:rsidRDefault="00494499" w:rsidP="00D83A76">
      <w:pPr>
        <w:numPr>
          <w:ilvl w:val="0"/>
          <w:numId w:val="6"/>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70" w:tooltip="Brocard (legal term)" w:history="1">
        <w:r w:rsidR="00D83A76" w:rsidRPr="00D83A76">
          <w:rPr>
            <w:rFonts w:ascii="Times New Roman" w:eastAsia="Times New Roman" w:hAnsi="Times New Roman" w:cs="Times New Roman"/>
            <w:color w:val="0000FF"/>
            <w:sz w:val="24"/>
            <w:szCs w:val="24"/>
            <w:u w:val="single"/>
          </w:rPr>
          <w:t>Brocard (legal term)</w:t>
        </w:r>
      </w:hyperlink>
      <w:r w:rsidR="00D83A76" w:rsidRPr="00D83A76">
        <w:rPr>
          <w:rFonts w:ascii="Times New Roman" w:eastAsia="Times New Roman" w:hAnsi="Times New Roman" w:cs="Times New Roman"/>
          <w:sz w:val="24"/>
          <w:szCs w:val="24"/>
        </w:rPr>
        <w:t xml:space="preserve"> </w:t>
      </w:r>
    </w:p>
    <w:p w14:paraId="34E6BBF3" w14:textId="77777777" w:rsidR="00D83A76" w:rsidRPr="00D83A76" w:rsidRDefault="00494499" w:rsidP="00D83A76">
      <w:pPr>
        <w:numPr>
          <w:ilvl w:val="0"/>
          <w:numId w:val="6"/>
        </w:numPr>
        <w:shd w:val="clear" w:color="auto" w:fill="F8FCFF"/>
        <w:spacing w:before="100" w:beforeAutospacing="1" w:after="100" w:afterAutospacing="1" w:line="240" w:lineRule="auto"/>
        <w:rPr>
          <w:rFonts w:ascii="Times New Roman" w:eastAsia="Times New Roman" w:hAnsi="Times New Roman" w:cs="Times New Roman"/>
          <w:sz w:val="24"/>
          <w:szCs w:val="24"/>
        </w:rPr>
      </w:pPr>
      <w:hyperlink r:id="rId71" w:tooltip="Legal maxim" w:history="1">
        <w:r w:rsidR="00D83A76" w:rsidRPr="00D83A76">
          <w:rPr>
            <w:rFonts w:ascii="Times New Roman" w:eastAsia="Times New Roman" w:hAnsi="Times New Roman" w:cs="Times New Roman"/>
            <w:color w:val="0000FF"/>
            <w:sz w:val="24"/>
            <w:szCs w:val="24"/>
            <w:u w:val="single"/>
          </w:rPr>
          <w:t>Legal maxim</w:t>
        </w:r>
      </w:hyperlink>
      <w:r w:rsidR="00D83A76" w:rsidRPr="00D83A76">
        <w:rPr>
          <w:rFonts w:ascii="Times New Roman" w:eastAsia="Times New Roman" w:hAnsi="Times New Roman" w:cs="Times New Roman"/>
          <w:sz w:val="24"/>
          <w:szCs w:val="24"/>
        </w:rPr>
        <w:t xml:space="preserve"> </w:t>
      </w:r>
    </w:p>
    <w:p w14:paraId="12C523AF" w14:textId="77777777" w:rsidR="00D83A76" w:rsidRPr="00D83A76" w:rsidRDefault="00D83A76" w:rsidP="00D83A76">
      <w:pPr>
        <w:shd w:val="clear" w:color="auto" w:fill="F8FCFF"/>
        <w:spacing w:before="100" w:beforeAutospacing="1" w:after="100" w:afterAutospacing="1" w:line="240" w:lineRule="auto"/>
        <w:outlineLvl w:val="1"/>
        <w:rPr>
          <w:rFonts w:ascii="Times New Roman" w:eastAsia="Times New Roman" w:hAnsi="Times New Roman" w:cs="Times New Roman"/>
          <w:b/>
          <w:bCs/>
          <w:sz w:val="36"/>
          <w:szCs w:val="36"/>
        </w:rPr>
      </w:pPr>
      <w:bookmarkStart w:id="21" w:name="References"/>
      <w:bookmarkEnd w:id="21"/>
      <w:r w:rsidRPr="00D83A76">
        <w:rPr>
          <w:rFonts w:ascii="Times New Roman" w:eastAsia="Times New Roman" w:hAnsi="Times New Roman" w:cs="Times New Roman"/>
          <w:b/>
          <w:bCs/>
          <w:sz w:val="36"/>
          <w:szCs w:val="36"/>
        </w:rPr>
        <w:t>[</w:t>
      </w:r>
      <w:hyperlink r:id="rId72" w:tooltip="Edit section: References" w:history="1">
        <w:r w:rsidRPr="00D83A76">
          <w:rPr>
            <w:rFonts w:ascii="Times New Roman" w:eastAsia="Times New Roman" w:hAnsi="Times New Roman" w:cs="Times New Roman"/>
            <w:b/>
            <w:bCs/>
            <w:color w:val="0000FF"/>
            <w:sz w:val="36"/>
            <w:szCs w:val="36"/>
            <w:u w:val="single"/>
          </w:rPr>
          <w:t>edit</w:t>
        </w:r>
      </w:hyperlink>
      <w:r w:rsidRPr="00D83A76">
        <w:rPr>
          <w:rFonts w:ascii="Times New Roman" w:eastAsia="Times New Roman" w:hAnsi="Times New Roman" w:cs="Times New Roman"/>
          <w:b/>
          <w:bCs/>
          <w:sz w:val="36"/>
          <w:szCs w:val="36"/>
        </w:rPr>
        <w:t>] References</w:t>
      </w:r>
    </w:p>
    <w:p w14:paraId="2FF6B236" w14:textId="77777777" w:rsidR="00D83A76" w:rsidRPr="00D83A76" w:rsidRDefault="00494499" w:rsidP="00D83A76">
      <w:pPr>
        <w:numPr>
          <w:ilvl w:val="0"/>
          <w:numId w:val="7"/>
        </w:numPr>
        <w:shd w:val="clear" w:color="auto" w:fill="F8FCFF"/>
        <w:spacing w:before="100" w:beforeAutospacing="1" w:after="100" w:afterAutospacing="1" w:line="240" w:lineRule="auto"/>
        <w:rPr>
          <w:rFonts w:ascii="Times New Roman" w:eastAsia="Times New Roman" w:hAnsi="Times New Roman" w:cs="Times New Roman"/>
        </w:rPr>
      </w:pPr>
      <w:hyperlink r:id="rId73" w:anchor="cite_ref-0" w:history="1">
        <w:r w:rsidR="00D83A76" w:rsidRPr="00D83A76">
          <w:rPr>
            <w:rFonts w:ascii="Times New Roman" w:eastAsia="Times New Roman" w:hAnsi="Times New Roman" w:cs="Times New Roman"/>
            <w:b/>
            <w:bCs/>
            <w:color w:val="0000FF"/>
            <w:u w:val="single"/>
          </w:rPr>
          <w:t>^</w:t>
        </w:r>
      </w:hyperlink>
      <w:r w:rsidR="00D83A76" w:rsidRPr="00D83A76">
        <w:rPr>
          <w:rFonts w:ascii="Times New Roman" w:eastAsia="Times New Roman" w:hAnsi="Times New Roman" w:cs="Times New Roman"/>
        </w:rPr>
        <w:t xml:space="preserve"> Richard Edwards, Nigel Stockwell (2005). </w:t>
      </w:r>
      <w:r w:rsidR="00D83A76" w:rsidRPr="00D83A76">
        <w:rPr>
          <w:rFonts w:ascii="Times New Roman" w:eastAsia="Times New Roman" w:hAnsi="Times New Roman" w:cs="Times New Roman"/>
          <w:i/>
          <w:iCs/>
        </w:rPr>
        <w:t>Trusts and Equity</w:t>
      </w:r>
      <w:r w:rsidR="00D83A76" w:rsidRPr="00D83A76">
        <w:rPr>
          <w:rFonts w:ascii="Times New Roman" w:eastAsia="Times New Roman" w:hAnsi="Times New Roman" w:cs="Times New Roman"/>
        </w:rPr>
        <w:t xml:space="preserve">. Pearson Education. pp. 34. </w:t>
      </w:r>
      <w:hyperlink r:id="rId74" w:history="1">
        <w:r w:rsidR="00D83A76" w:rsidRPr="00D83A76">
          <w:rPr>
            <w:rFonts w:ascii="Times New Roman" w:eastAsia="Times New Roman" w:hAnsi="Times New Roman" w:cs="Times New Roman"/>
            <w:color w:val="0000FF"/>
            <w:u w:val="single"/>
          </w:rPr>
          <w:t>ISBN 1405812273</w:t>
        </w:r>
      </w:hyperlink>
      <w:r w:rsidR="00D83A76" w:rsidRPr="00D83A76">
        <w:rPr>
          <w:rFonts w:ascii="Times New Roman" w:eastAsia="Times New Roman" w:hAnsi="Times New Roman" w:cs="Times New Roman"/>
        </w:rPr>
        <w:t>.</w:t>
      </w:r>
      <w:r w:rsidR="00D83A76" w:rsidRPr="00D83A76">
        <w:rPr>
          <w:rFonts w:ascii="Times New Roman" w:eastAsia="Times New Roman" w:hAnsi="Times New Roman" w:cs="Times New Roman"/>
          <w:vanish/>
        </w:rPr>
        <w:t> </w:t>
      </w:r>
      <w:r w:rsidR="00D83A76" w:rsidRPr="00D83A76">
        <w:rPr>
          <w:rFonts w:ascii="Times New Roman" w:eastAsia="Times New Roman" w:hAnsi="Times New Roman" w:cs="Times New Roman"/>
        </w:rPr>
        <w:t xml:space="preserve"> </w:t>
      </w:r>
    </w:p>
    <w:p w14:paraId="261F9FF4" w14:textId="77777777" w:rsidR="00D83A76" w:rsidRPr="00D83A76" w:rsidRDefault="00D83A76" w:rsidP="00D83A76">
      <w:pPr>
        <w:shd w:val="clear" w:color="auto" w:fill="F8FCFF"/>
        <w:spacing w:after="0" w:line="240" w:lineRule="auto"/>
        <w:rPr>
          <w:rFonts w:ascii="Times New Roman" w:eastAsia="Times New Roman" w:hAnsi="Times New Roman" w:cs="Times New Roman"/>
          <w:sz w:val="24"/>
          <w:szCs w:val="24"/>
        </w:rPr>
      </w:pPr>
      <w:r w:rsidRPr="00D83A76">
        <w:rPr>
          <w:rFonts w:ascii="Times New Roman" w:eastAsia="Times New Roman" w:hAnsi="Times New Roman" w:cs="Times New Roman"/>
          <w:sz w:val="24"/>
          <w:szCs w:val="24"/>
        </w:rPr>
        <w:t>Retrieved from "</w:t>
      </w:r>
      <w:hyperlink r:id="rId75" w:history="1">
        <w:r w:rsidRPr="00D83A76">
          <w:rPr>
            <w:rFonts w:ascii="Times New Roman" w:eastAsia="Times New Roman" w:hAnsi="Times New Roman" w:cs="Times New Roman"/>
            <w:color w:val="0000FF"/>
            <w:sz w:val="24"/>
            <w:szCs w:val="24"/>
            <w:u w:val="single"/>
          </w:rPr>
          <w:t>http://en.wikipedia.org/wiki/Maxims_of_equity</w:t>
        </w:r>
      </w:hyperlink>
      <w:r w:rsidRPr="00D83A76">
        <w:rPr>
          <w:rFonts w:ascii="Times New Roman" w:eastAsia="Times New Roman" w:hAnsi="Times New Roman" w:cs="Times New Roman"/>
          <w:sz w:val="24"/>
          <w:szCs w:val="24"/>
        </w:rPr>
        <w:t>"</w:t>
      </w:r>
    </w:p>
    <w:p w14:paraId="2648216B" w14:textId="77777777" w:rsidR="00D01622" w:rsidRDefault="00494499"/>
    <w:sectPr w:rsidR="00D01622" w:rsidSect="002124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6BC"/>
    <w:multiLevelType w:val="multilevel"/>
    <w:tmpl w:val="C844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C01C6"/>
    <w:multiLevelType w:val="multilevel"/>
    <w:tmpl w:val="7118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D033E"/>
    <w:multiLevelType w:val="multilevel"/>
    <w:tmpl w:val="00DA2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E20FA5"/>
    <w:multiLevelType w:val="multilevel"/>
    <w:tmpl w:val="B0D4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6F23D7"/>
    <w:multiLevelType w:val="multilevel"/>
    <w:tmpl w:val="30A4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1178AC"/>
    <w:multiLevelType w:val="multilevel"/>
    <w:tmpl w:val="7284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1A48CC"/>
    <w:multiLevelType w:val="multilevel"/>
    <w:tmpl w:val="FFD8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compat>
    <w:compatSetting w:name="compatibilityMode" w:uri="http://schemas.microsoft.com/office/word" w:val="12"/>
  </w:compat>
  <w:rsids>
    <w:rsidRoot w:val="00D83A76"/>
    <w:rsid w:val="00013AC8"/>
    <w:rsid w:val="00017BFB"/>
    <w:rsid w:val="00086346"/>
    <w:rsid w:val="0021240C"/>
    <w:rsid w:val="002B772B"/>
    <w:rsid w:val="00433063"/>
    <w:rsid w:val="00494499"/>
    <w:rsid w:val="006A71F3"/>
    <w:rsid w:val="0098562E"/>
    <w:rsid w:val="00C26D62"/>
    <w:rsid w:val="00C678CC"/>
    <w:rsid w:val="00D83A76"/>
    <w:rsid w:val="00DD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0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0C"/>
  </w:style>
  <w:style w:type="paragraph" w:styleId="Heading1">
    <w:name w:val="heading 1"/>
    <w:basedOn w:val="Normal"/>
    <w:link w:val="Heading1Char"/>
    <w:uiPriority w:val="9"/>
    <w:qFormat/>
    <w:rsid w:val="00D83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83A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3A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A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83A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3A7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3A76"/>
    <w:rPr>
      <w:color w:val="0000FF"/>
      <w:u w:val="single"/>
    </w:rPr>
  </w:style>
  <w:style w:type="character" w:styleId="HTMLCite">
    <w:name w:val="HTML Cite"/>
    <w:basedOn w:val="DefaultParagraphFont"/>
    <w:uiPriority w:val="99"/>
    <w:semiHidden/>
    <w:unhideWhenUsed/>
    <w:rsid w:val="00D83A76"/>
    <w:rPr>
      <w:i w:val="0"/>
      <w:iCs w:val="0"/>
    </w:rPr>
  </w:style>
  <w:style w:type="paragraph" w:styleId="NormalWeb">
    <w:name w:val="Normal (Web)"/>
    <w:basedOn w:val="Normal"/>
    <w:uiPriority w:val="99"/>
    <w:semiHidden/>
    <w:unhideWhenUsed/>
    <w:rsid w:val="00D83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D83A76"/>
  </w:style>
  <w:style w:type="character" w:customStyle="1" w:styleId="tocnumber2">
    <w:name w:val="tocnumber2"/>
    <w:basedOn w:val="DefaultParagraphFont"/>
    <w:rsid w:val="00D83A76"/>
  </w:style>
  <w:style w:type="character" w:customStyle="1" w:styleId="toctext">
    <w:name w:val="toctext"/>
    <w:basedOn w:val="DefaultParagraphFont"/>
    <w:rsid w:val="00D83A76"/>
  </w:style>
  <w:style w:type="character" w:customStyle="1" w:styleId="editsection">
    <w:name w:val="editsection"/>
    <w:basedOn w:val="DefaultParagraphFont"/>
    <w:rsid w:val="00D83A76"/>
  </w:style>
  <w:style w:type="character" w:customStyle="1" w:styleId="mw-headline">
    <w:name w:val="mw-headline"/>
    <w:basedOn w:val="DefaultParagraphFont"/>
    <w:rsid w:val="00D83A76"/>
  </w:style>
  <w:style w:type="character" w:customStyle="1" w:styleId="z3988">
    <w:name w:val="z3988"/>
    <w:basedOn w:val="DefaultParagraphFont"/>
    <w:rsid w:val="00D83A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170">
      <w:bodyDiv w:val="1"/>
      <w:marLeft w:val="0"/>
      <w:marRight w:val="0"/>
      <w:marTop w:val="0"/>
      <w:marBottom w:val="0"/>
      <w:divBdr>
        <w:top w:val="none" w:sz="0" w:space="0" w:color="auto"/>
        <w:left w:val="none" w:sz="0" w:space="0" w:color="auto"/>
        <w:bottom w:val="none" w:sz="0" w:space="0" w:color="auto"/>
        <w:right w:val="none" w:sz="0" w:space="0" w:color="auto"/>
      </w:divBdr>
      <w:divsChild>
        <w:div w:id="966399217">
          <w:marLeft w:val="0"/>
          <w:marRight w:val="0"/>
          <w:marTop w:val="0"/>
          <w:marBottom w:val="0"/>
          <w:divBdr>
            <w:top w:val="none" w:sz="0" w:space="0" w:color="auto"/>
            <w:left w:val="none" w:sz="0" w:space="0" w:color="auto"/>
            <w:bottom w:val="none" w:sz="0" w:space="0" w:color="auto"/>
            <w:right w:val="none" w:sz="0" w:space="0" w:color="auto"/>
          </w:divBdr>
          <w:divsChild>
            <w:div w:id="2027318308">
              <w:marLeft w:val="0"/>
              <w:marRight w:val="0"/>
              <w:marTop w:val="0"/>
              <w:marBottom w:val="0"/>
              <w:divBdr>
                <w:top w:val="none" w:sz="0" w:space="0" w:color="auto"/>
                <w:left w:val="none" w:sz="0" w:space="0" w:color="auto"/>
                <w:bottom w:val="none" w:sz="0" w:space="0" w:color="auto"/>
                <w:right w:val="none" w:sz="0" w:space="0" w:color="auto"/>
              </w:divBdr>
              <w:divsChild>
                <w:div w:id="1398816532">
                  <w:marLeft w:val="0"/>
                  <w:marRight w:val="0"/>
                  <w:marTop w:val="0"/>
                  <w:marBottom w:val="0"/>
                  <w:divBdr>
                    <w:top w:val="none" w:sz="0" w:space="0" w:color="auto"/>
                    <w:left w:val="none" w:sz="0" w:space="0" w:color="auto"/>
                    <w:bottom w:val="none" w:sz="0" w:space="0" w:color="auto"/>
                    <w:right w:val="none" w:sz="0" w:space="0" w:color="auto"/>
                  </w:divBdr>
                  <w:divsChild>
                    <w:div w:id="1456944984">
                      <w:marLeft w:val="0"/>
                      <w:marRight w:val="0"/>
                      <w:marTop w:val="0"/>
                      <w:marBottom w:val="0"/>
                      <w:divBdr>
                        <w:top w:val="none" w:sz="0" w:space="0" w:color="auto"/>
                        <w:left w:val="none" w:sz="0" w:space="0" w:color="auto"/>
                        <w:bottom w:val="none" w:sz="0" w:space="0" w:color="auto"/>
                        <w:right w:val="none" w:sz="0" w:space="0" w:color="auto"/>
                      </w:divBdr>
                      <w:divsChild>
                        <w:div w:id="1341659746">
                          <w:marLeft w:val="0"/>
                          <w:marRight w:val="0"/>
                          <w:marTop w:val="0"/>
                          <w:marBottom w:val="0"/>
                          <w:divBdr>
                            <w:top w:val="none" w:sz="0" w:space="0" w:color="auto"/>
                            <w:left w:val="none" w:sz="0" w:space="0" w:color="auto"/>
                            <w:bottom w:val="none" w:sz="0" w:space="0" w:color="auto"/>
                            <w:right w:val="none" w:sz="0" w:space="0" w:color="auto"/>
                          </w:divBdr>
                        </w:div>
                        <w:div w:id="1100905314">
                          <w:marLeft w:val="0"/>
                          <w:marRight w:val="0"/>
                          <w:marTop w:val="0"/>
                          <w:marBottom w:val="0"/>
                          <w:divBdr>
                            <w:top w:val="none" w:sz="0" w:space="0" w:color="auto"/>
                            <w:left w:val="none" w:sz="0" w:space="0" w:color="auto"/>
                            <w:bottom w:val="none" w:sz="0" w:space="0" w:color="auto"/>
                            <w:right w:val="none" w:sz="0" w:space="0" w:color="auto"/>
                          </w:divBdr>
                        </w:div>
                        <w:div w:id="422073774">
                          <w:marLeft w:val="0"/>
                          <w:marRight w:val="0"/>
                          <w:marTop w:val="0"/>
                          <w:marBottom w:val="0"/>
                          <w:divBdr>
                            <w:top w:val="none" w:sz="0" w:space="0" w:color="auto"/>
                            <w:left w:val="none" w:sz="0" w:space="0" w:color="auto"/>
                            <w:bottom w:val="none" w:sz="0" w:space="0" w:color="auto"/>
                            <w:right w:val="none" w:sz="0" w:space="0" w:color="auto"/>
                          </w:divBdr>
                        </w:div>
                        <w:div w:id="1052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javascript:toggleToc()" TargetMode="External"/><Relationship Id="rId14" Type="http://schemas.openxmlformats.org/officeDocument/2006/relationships/hyperlink" Target="http://en.wikipedia.org/wiki/Maxims_of_equity" TargetMode="External"/><Relationship Id="rId15" Type="http://schemas.openxmlformats.org/officeDocument/2006/relationships/hyperlink" Target="http://en.wikipedia.org/wiki/Maxims_of_equity" TargetMode="External"/><Relationship Id="rId16" Type="http://schemas.openxmlformats.org/officeDocument/2006/relationships/hyperlink" Target="http://en.wikipedia.org/wiki/Maxims_of_equity" TargetMode="External"/><Relationship Id="rId17" Type="http://schemas.openxmlformats.org/officeDocument/2006/relationships/hyperlink" Target="http://en.wikipedia.org/wiki/Maxims_of_equity" TargetMode="External"/><Relationship Id="rId18" Type="http://schemas.openxmlformats.org/officeDocument/2006/relationships/hyperlink" Target="http://en.wikipedia.org/wiki/Maxims_of_equity" TargetMode="External"/><Relationship Id="rId19" Type="http://schemas.openxmlformats.org/officeDocument/2006/relationships/hyperlink" Target="http://en.wikipedia.org/wiki/Maxims_of_equity" TargetMode="External"/><Relationship Id="rId63" Type="http://schemas.openxmlformats.org/officeDocument/2006/relationships/hyperlink" Target="http://en.wikipedia.org/wiki/Estoppel" TargetMode="External"/><Relationship Id="rId64" Type="http://schemas.openxmlformats.org/officeDocument/2006/relationships/hyperlink" Target="http://en.wikipedia.org/w/index.php?title=Maxims_of_equity&amp;action=edit&amp;section=15" TargetMode="External"/><Relationship Id="rId65" Type="http://schemas.openxmlformats.org/officeDocument/2006/relationships/hyperlink" Target="http://en.wikipedia.org/w/index.php?title=Maxims_of_equity&amp;action=edit&amp;section=16" TargetMode="External"/><Relationship Id="rId66" Type="http://schemas.openxmlformats.org/officeDocument/2006/relationships/hyperlink" Target="http://en.wikipedia.org/w/index.php?title=Maxims_of_equity&amp;action=edit&amp;section=17" TargetMode="External"/><Relationship Id="rId67" Type="http://schemas.openxmlformats.org/officeDocument/2006/relationships/hyperlink" Target="http://en.wikipedia.org/w/index.php?title=Maxims_of_equity&amp;action=edit&amp;section=18" TargetMode="External"/><Relationship Id="rId68" Type="http://schemas.openxmlformats.org/officeDocument/2006/relationships/hyperlink" Target="http://en.wikipedia.org/w/index.php?title=Maxims_of_equity&amp;action=edit&amp;section=19" TargetMode="External"/><Relationship Id="rId69" Type="http://schemas.openxmlformats.org/officeDocument/2006/relationships/hyperlink" Target="http://en.wikipedia.org/w/index.php?title=Maxims_of_equity&amp;action=edit&amp;section=20" TargetMode="External"/><Relationship Id="rId50" Type="http://schemas.openxmlformats.org/officeDocument/2006/relationships/hyperlink" Target="http://en.wikipedia.org/w/index.php?title=Maxims_of_equity&amp;action=edit&amp;section=9" TargetMode="External"/><Relationship Id="rId51" Type="http://schemas.openxmlformats.org/officeDocument/2006/relationships/hyperlink" Target="http://en.wikipedia.org/w/index.php?title=Maxims_of_equity&amp;action=edit&amp;section=10" TargetMode="External"/><Relationship Id="rId52" Type="http://schemas.openxmlformats.org/officeDocument/2006/relationships/hyperlink" Target="http://en.wikipedia.org/wiki/Unclean_hands" TargetMode="External"/><Relationship Id="rId53" Type="http://schemas.openxmlformats.org/officeDocument/2006/relationships/hyperlink" Target="http://en.wikipedia.org/wiki/Riggs_v._Palmer" TargetMode="External"/><Relationship Id="rId54" Type="http://schemas.openxmlformats.org/officeDocument/2006/relationships/hyperlink" Target="http://en.wikipedia.org/wiki/Equitable_estoppel" TargetMode="External"/><Relationship Id="rId55" Type="http://schemas.openxmlformats.org/officeDocument/2006/relationships/hyperlink" Target="http://en.wikipedia.org/wiki/Tom_Denning,_Baron_Denning" TargetMode="External"/><Relationship Id="rId56" Type="http://schemas.openxmlformats.org/officeDocument/2006/relationships/hyperlink" Target="http://www.lectlaw.com/def/c202.htm" TargetMode="External"/><Relationship Id="rId57" Type="http://schemas.openxmlformats.org/officeDocument/2006/relationships/hyperlink" Target="http://en.wikipedia.org/w/index.php?title=Maxims_of_equity&amp;action=edit&amp;section=11" TargetMode="External"/><Relationship Id="rId58" Type="http://schemas.openxmlformats.org/officeDocument/2006/relationships/hyperlink" Target="http://en.wikipedia.org/w/index.php?title=Maxims_of_equity&amp;action=edit&amp;section=12" TargetMode="External"/><Relationship Id="rId59" Type="http://schemas.openxmlformats.org/officeDocument/2006/relationships/hyperlink" Target="http://en.wikipedia.org/w/index.php?title=Burnworth_v._Hughes&amp;action=edit&amp;redlink=1" TargetMode="External"/><Relationship Id="rId40" Type="http://schemas.openxmlformats.org/officeDocument/2006/relationships/hyperlink" Target="http://en.wikipedia.org/w/index.php?title=Maxims_of_equity&amp;action=edit&amp;section=3" TargetMode="External"/><Relationship Id="rId41" Type="http://schemas.openxmlformats.org/officeDocument/2006/relationships/hyperlink" Target="http://en.wikipedia.org/w/index.php?title=Maxims_of_equity&amp;action=edit&amp;section=4" TargetMode="External"/><Relationship Id="rId42" Type="http://schemas.openxmlformats.org/officeDocument/2006/relationships/hyperlink" Target="http://en.wikipedia.org/w/index.php?title=Maxims_of_equity&amp;action=edit&amp;section=5" TargetMode="External"/><Relationship Id="rId43" Type="http://schemas.openxmlformats.org/officeDocument/2006/relationships/hyperlink" Target="http://en.wikipedia.org/wiki/Laches_(equity)" TargetMode="External"/><Relationship Id="rId44" Type="http://schemas.openxmlformats.org/officeDocument/2006/relationships/hyperlink" Target="http://en.wikipedia.org/w/index.php?title=Maxims_of_equity&amp;action=edit&amp;section=6" TargetMode="External"/><Relationship Id="rId45" Type="http://schemas.openxmlformats.org/officeDocument/2006/relationships/hyperlink" Target="http://en.wikipedia.org/w/index.php?title=Maxims_of_equity&amp;action=edit&amp;section=7" TargetMode="External"/><Relationship Id="rId46" Type="http://schemas.openxmlformats.org/officeDocument/2006/relationships/hyperlink" Target="http://en.wikipedia.org/wiki/In_personam" TargetMode="External"/><Relationship Id="rId47" Type="http://schemas.openxmlformats.org/officeDocument/2006/relationships/hyperlink" Target="http://en.wikipedia.org/wiki/In_rem" TargetMode="External"/><Relationship Id="rId48" Type="http://schemas.openxmlformats.org/officeDocument/2006/relationships/hyperlink" Target="http://en.wikipedia.org/wiki/Contempt_of_court" TargetMode="External"/><Relationship Id="rId49" Type="http://schemas.openxmlformats.org/officeDocument/2006/relationships/hyperlink" Target="http://en.wikipedia.org/w/index.php?title=Maxims_of_equity&amp;action=edit&amp;section=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Maxims_of_equity" TargetMode="External"/><Relationship Id="rId7" Type="http://schemas.openxmlformats.org/officeDocument/2006/relationships/hyperlink" Target="http://en.wikipedia.org/wiki/Maxims_of_equity" TargetMode="External"/><Relationship Id="rId8" Type="http://schemas.openxmlformats.org/officeDocument/2006/relationships/hyperlink" Target="http://en.wikipedia.org/wiki/Equity_(law)" TargetMode="External"/><Relationship Id="rId9" Type="http://schemas.openxmlformats.org/officeDocument/2006/relationships/hyperlink" Target="http://en.wikipedia.org/wiki/Latin" TargetMode="External"/><Relationship Id="rId30" Type="http://schemas.openxmlformats.org/officeDocument/2006/relationships/hyperlink" Target="http://en.wikipedia.org/wiki/Maxims_of_equity" TargetMode="External"/><Relationship Id="rId31" Type="http://schemas.openxmlformats.org/officeDocument/2006/relationships/hyperlink" Target="http://en.wikipedia.org/wiki/Maxims_of_equity" TargetMode="External"/><Relationship Id="rId32" Type="http://schemas.openxmlformats.org/officeDocument/2006/relationships/hyperlink" Target="http://en.wikipedia.org/wiki/Maxims_of_equity" TargetMode="External"/><Relationship Id="rId33" Type="http://schemas.openxmlformats.org/officeDocument/2006/relationships/hyperlink" Target="http://en.wikipedia.org/wiki/Maxims_of_equity" TargetMode="External"/><Relationship Id="rId34" Type="http://schemas.openxmlformats.org/officeDocument/2006/relationships/hyperlink" Target="http://en.wikipedia.org/wiki/Maxims_of_equity" TargetMode="External"/><Relationship Id="rId35" Type="http://schemas.openxmlformats.org/officeDocument/2006/relationships/hyperlink" Target="http://en.wikipedia.org/w/index.php?title=Maxims_of_equity&amp;action=edit&amp;section=1" TargetMode="External"/><Relationship Id="rId36" Type="http://schemas.openxmlformats.org/officeDocument/2006/relationships/hyperlink" Target="http://en.wikipedia.org/wiki/Equitable_conversion" TargetMode="External"/><Relationship Id="rId37" Type="http://schemas.openxmlformats.org/officeDocument/2006/relationships/hyperlink" Target="http://en.wikipedia.org/wiki/Realty" TargetMode="External"/><Relationship Id="rId38" Type="http://schemas.openxmlformats.org/officeDocument/2006/relationships/hyperlink" Target="http://en.wikipedia.org/w/index.php?title=Maxims_of_equity&amp;action=edit&amp;section=2" TargetMode="External"/><Relationship Id="rId39" Type="http://schemas.openxmlformats.org/officeDocument/2006/relationships/hyperlink" Target="http://en.wikipedia.org/wiki/Ashby_v._White" TargetMode="External"/><Relationship Id="rId70" Type="http://schemas.openxmlformats.org/officeDocument/2006/relationships/hyperlink" Target="http://en.wikipedia.org/wiki/Brocard_(legal_term)" TargetMode="External"/><Relationship Id="rId71" Type="http://schemas.openxmlformats.org/officeDocument/2006/relationships/hyperlink" Target="http://en.wikipedia.org/wiki/Legal_maxim" TargetMode="External"/><Relationship Id="rId72" Type="http://schemas.openxmlformats.org/officeDocument/2006/relationships/hyperlink" Target="http://en.wikipedia.org/w/index.php?title=Maxims_of_equity&amp;action=edit&amp;section=21" TargetMode="External"/><Relationship Id="rId20" Type="http://schemas.openxmlformats.org/officeDocument/2006/relationships/hyperlink" Target="http://en.wikipedia.org/wiki/Maxims_of_equity" TargetMode="External"/><Relationship Id="rId21" Type="http://schemas.openxmlformats.org/officeDocument/2006/relationships/hyperlink" Target="http://en.wikipedia.org/wiki/Maxims_of_equity" TargetMode="External"/><Relationship Id="rId22" Type="http://schemas.openxmlformats.org/officeDocument/2006/relationships/hyperlink" Target="http://en.wikipedia.org/wiki/Maxims_of_equity" TargetMode="External"/><Relationship Id="rId23" Type="http://schemas.openxmlformats.org/officeDocument/2006/relationships/hyperlink" Target="http://en.wikipedia.org/wiki/Maxims_of_equity" TargetMode="External"/><Relationship Id="rId24" Type="http://schemas.openxmlformats.org/officeDocument/2006/relationships/hyperlink" Target="http://en.wikipedia.org/wiki/Maxims_of_equity" TargetMode="External"/><Relationship Id="rId25" Type="http://schemas.openxmlformats.org/officeDocument/2006/relationships/hyperlink" Target="http://en.wikipedia.org/wiki/Maxims_of_equity" TargetMode="External"/><Relationship Id="rId26" Type="http://schemas.openxmlformats.org/officeDocument/2006/relationships/hyperlink" Target="http://en.wikipedia.org/wiki/Maxims_of_equity" TargetMode="External"/><Relationship Id="rId27" Type="http://schemas.openxmlformats.org/officeDocument/2006/relationships/hyperlink" Target="http://en.wikipedia.org/wiki/Maxims_of_equity" TargetMode="External"/><Relationship Id="rId28" Type="http://schemas.openxmlformats.org/officeDocument/2006/relationships/hyperlink" Target="http://en.wikipedia.org/wiki/Maxims_of_equity" TargetMode="External"/><Relationship Id="rId29" Type="http://schemas.openxmlformats.org/officeDocument/2006/relationships/hyperlink" Target="http://en.wikipedia.org/wiki/Maxims_of_equity" TargetMode="External"/><Relationship Id="rId73" Type="http://schemas.openxmlformats.org/officeDocument/2006/relationships/hyperlink" Target="http://en.wikipedia.org/wiki/Maxims_of_equity" TargetMode="External"/><Relationship Id="rId74" Type="http://schemas.openxmlformats.org/officeDocument/2006/relationships/hyperlink" Target="http://en.wikipedia.org/wiki/Special:BookSources/1405812273" TargetMode="External"/><Relationship Id="rId75" Type="http://schemas.openxmlformats.org/officeDocument/2006/relationships/hyperlink" Target="http://en.wikipedia.org/wiki/Maxims_of_equity" TargetMode="External"/><Relationship Id="rId76" Type="http://schemas.openxmlformats.org/officeDocument/2006/relationships/fontTable" Target="fontTable.xml"/><Relationship Id="rId77" Type="http://schemas.openxmlformats.org/officeDocument/2006/relationships/theme" Target="theme/theme1.xml"/><Relationship Id="rId60" Type="http://schemas.openxmlformats.org/officeDocument/2006/relationships/hyperlink" Target="http://en.wikipedia.org/wiki/Interpleader" TargetMode="External"/><Relationship Id="rId61" Type="http://schemas.openxmlformats.org/officeDocument/2006/relationships/hyperlink" Target="http://en.wikipedia.org/w/index.php?title=Maxims_of_equity&amp;action=edit&amp;section=13" TargetMode="External"/><Relationship Id="rId62" Type="http://schemas.openxmlformats.org/officeDocument/2006/relationships/hyperlink" Target="http://en.wikipedia.org/w/index.php?title=Maxims_of_equity&amp;action=edit&amp;section=14" TargetMode="External"/><Relationship Id="rId10" Type="http://schemas.openxmlformats.org/officeDocument/2006/relationships/hyperlink" Target="http://en.wikipedia.org/wiki/English_language" TargetMode="External"/><Relationship Id="rId11" Type="http://schemas.openxmlformats.org/officeDocument/2006/relationships/hyperlink" Target="http://en.wikipedia.org/wiki/Court_of_equity" TargetMode="External"/><Relationship Id="rId12" Type="http://schemas.openxmlformats.org/officeDocument/2006/relationships/hyperlink" Target="http://en.wikipedia.org/wiki/Maxims_of_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4258</Words>
  <Characters>24277</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hm</Company>
  <LinksUpToDate>false</LinksUpToDate>
  <CharactersWithSpaces>28479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g</dc:creator>
  <cp:keywords/>
  <dc:description/>
  <cp:lastModifiedBy>Spiral Living</cp:lastModifiedBy>
  <cp:revision>9</cp:revision>
  <dcterms:created xsi:type="dcterms:W3CDTF">2009-01-29T14:32:00Z</dcterms:created>
  <dcterms:modified xsi:type="dcterms:W3CDTF">2021-11-21T20:42:00Z</dcterms:modified>
</cp:coreProperties>
</file>